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1DE17" w14:textId="77777777" w:rsidR="009207AC" w:rsidRDefault="00DC609E" w:rsidP="00DC609E">
      <w:pPr>
        <w:jc w:val="center"/>
        <w:rPr>
          <w:rFonts w:ascii="Arial" w:hAnsi="Arial" w:cs="Arial"/>
          <w:b/>
        </w:rPr>
      </w:pPr>
      <w:r w:rsidRPr="009F1F75">
        <w:rPr>
          <w:rFonts w:ascii="Arial" w:hAnsi="Arial" w:cs="Arial"/>
          <w:b/>
        </w:rPr>
        <w:t>APPLICATION OF THE AGGLOMERATIVE CLUSTERING PROCEDURE FOR ASSESSING THE CIRCULARITY OF THE EUROPEAN UNION COUNTRIES</w:t>
      </w:r>
    </w:p>
    <w:p w14:paraId="78119F09" w14:textId="77777777" w:rsidR="006673B0" w:rsidRDefault="006673B0" w:rsidP="00DC609E">
      <w:pPr>
        <w:jc w:val="center"/>
        <w:rPr>
          <w:rFonts w:ascii="Arial" w:hAnsi="Arial" w:cs="Arial"/>
          <w:b/>
        </w:rPr>
      </w:pPr>
    </w:p>
    <w:p w14:paraId="3D51FF2B" w14:textId="6815F42B" w:rsidR="006673B0" w:rsidRPr="006673B0" w:rsidRDefault="006673B0" w:rsidP="00DC609E">
      <w:pPr>
        <w:jc w:val="center"/>
        <w:rPr>
          <w:rFonts w:ascii="Arial" w:hAnsi="Arial" w:cs="Arial"/>
          <w:bCs/>
          <w:sz w:val="20"/>
          <w:szCs w:val="20"/>
          <w:vertAlign w:val="superscript"/>
        </w:rPr>
      </w:pPr>
      <w:proofErr w:type="spellStart"/>
      <w:r w:rsidRPr="006673B0">
        <w:rPr>
          <w:rFonts w:ascii="Arial" w:hAnsi="Arial" w:cs="Arial"/>
          <w:bCs/>
          <w:sz w:val="20"/>
          <w:szCs w:val="20"/>
        </w:rPr>
        <w:t>Žarko</w:t>
      </w:r>
      <w:proofErr w:type="spellEnd"/>
      <w:r w:rsidRPr="006673B0">
        <w:rPr>
          <w:rFonts w:ascii="Arial" w:hAnsi="Arial" w:cs="Arial"/>
          <w:bCs/>
          <w:sz w:val="20"/>
          <w:szCs w:val="20"/>
        </w:rPr>
        <w:t xml:space="preserve"> Rađenović</w:t>
      </w:r>
      <w:r>
        <w:rPr>
          <w:rFonts w:ascii="Arial" w:hAnsi="Arial" w:cs="Arial"/>
          <w:bCs/>
          <w:sz w:val="20"/>
          <w:szCs w:val="20"/>
          <w:vertAlign w:val="superscript"/>
        </w:rPr>
        <w:t>1</w:t>
      </w:r>
      <w:r w:rsidRPr="006673B0">
        <w:rPr>
          <w:rFonts w:ascii="Arial" w:hAnsi="Arial" w:cs="Arial"/>
          <w:bCs/>
          <w:sz w:val="20"/>
          <w:szCs w:val="20"/>
        </w:rPr>
        <w:t>, Tatjana Boshkov</w:t>
      </w:r>
      <w:r>
        <w:rPr>
          <w:rFonts w:ascii="Arial" w:hAnsi="Arial" w:cs="Arial"/>
          <w:bCs/>
          <w:sz w:val="20"/>
          <w:szCs w:val="20"/>
          <w:vertAlign w:val="superscript"/>
        </w:rPr>
        <w:t>2</w:t>
      </w:r>
    </w:p>
    <w:p w14:paraId="3AD6454F" w14:textId="2E0C0CA9" w:rsidR="006673B0" w:rsidRPr="006673B0" w:rsidRDefault="006673B0" w:rsidP="00DC609E">
      <w:pPr>
        <w:jc w:val="center"/>
        <w:rPr>
          <w:rFonts w:ascii="Arial" w:hAnsi="Arial" w:cs="Arial"/>
          <w:bCs/>
          <w:sz w:val="20"/>
          <w:szCs w:val="20"/>
        </w:rPr>
      </w:pPr>
      <w:r>
        <w:rPr>
          <w:rFonts w:ascii="Arial" w:hAnsi="Arial" w:cs="Arial"/>
          <w:bCs/>
          <w:sz w:val="20"/>
          <w:szCs w:val="20"/>
          <w:vertAlign w:val="superscript"/>
        </w:rPr>
        <w:t>1</w:t>
      </w:r>
      <w:r w:rsidR="00EE65A3" w:rsidRPr="00EE65A3">
        <w:rPr>
          <w:rFonts w:ascii="Arial" w:hAnsi="Arial" w:cs="Arial"/>
          <w:bCs/>
          <w:sz w:val="20"/>
          <w:szCs w:val="20"/>
        </w:rPr>
        <w:t xml:space="preserve">Research Associate, University of </w:t>
      </w:r>
      <w:proofErr w:type="spellStart"/>
      <w:r w:rsidR="00EE65A3" w:rsidRPr="00EE65A3">
        <w:rPr>
          <w:rFonts w:ascii="Arial" w:hAnsi="Arial" w:cs="Arial"/>
          <w:bCs/>
          <w:sz w:val="20"/>
          <w:szCs w:val="20"/>
        </w:rPr>
        <w:t>Niš</w:t>
      </w:r>
      <w:proofErr w:type="spellEnd"/>
      <w:r w:rsidR="00EE65A3" w:rsidRPr="00EE65A3">
        <w:rPr>
          <w:rFonts w:ascii="Arial" w:hAnsi="Arial" w:cs="Arial"/>
          <w:bCs/>
          <w:sz w:val="20"/>
          <w:szCs w:val="20"/>
        </w:rPr>
        <w:t xml:space="preserve">, Innovation Center, Serbia, </w:t>
      </w:r>
      <w:hyperlink r:id="rId8" w:history="1">
        <w:r w:rsidR="00EE65A3" w:rsidRPr="00731607">
          <w:rPr>
            <w:rStyle w:val="Hyperlink"/>
            <w:rFonts w:ascii="Arial" w:hAnsi="Arial" w:cs="Arial"/>
            <w:bCs/>
            <w:sz w:val="20"/>
            <w:szCs w:val="20"/>
          </w:rPr>
          <w:t>z_radjenovic89@outlook.com</w:t>
        </w:r>
      </w:hyperlink>
      <w:r w:rsidR="00EE65A3">
        <w:rPr>
          <w:rFonts w:ascii="Arial" w:hAnsi="Arial" w:cs="Arial"/>
          <w:bCs/>
          <w:sz w:val="20"/>
          <w:szCs w:val="20"/>
        </w:rPr>
        <w:t xml:space="preserve"> </w:t>
      </w:r>
    </w:p>
    <w:p w14:paraId="31EBB3F1" w14:textId="2D450BEF" w:rsidR="006673B0" w:rsidRPr="006673B0" w:rsidRDefault="006673B0" w:rsidP="006673B0">
      <w:pPr>
        <w:jc w:val="center"/>
        <w:rPr>
          <w:rFonts w:ascii="Arial" w:hAnsi="Arial" w:cs="Arial"/>
          <w:bCs/>
          <w:sz w:val="20"/>
          <w:szCs w:val="20"/>
        </w:rPr>
      </w:pPr>
      <w:r>
        <w:rPr>
          <w:rFonts w:ascii="Arial" w:hAnsi="Arial" w:cs="Arial"/>
          <w:bCs/>
          <w:sz w:val="20"/>
          <w:szCs w:val="20"/>
          <w:vertAlign w:val="superscript"/>
        </w:rPr>
        <w:t>2</w:t>
      </w:r>
      <w:r w:rsidRPr="006673B0">
        <w:rPr>
          <w:rFonts w:ascii="Arial" w:hAnsi="Arial" w:cs="Arial"/>
          <w:bCs/>
          <w:sz w:val="20"/>
          <w:szCs w:val="20"/>
        </w:rPr>
        <w:t xml:space="preserve">Professor, </w:t>
      </w:r>
      <w:proofErr w:type="spellStart"/>
      <w:r w:rsidRPr="006673B0">
        <w:rPr>
          <w:rFonts w:ascii="Arial" w:hAnsi="Arial" w:cs="Arial"/>
          <w:bCs/>
          <w:sz w:val="20"/>
          <w:szCs w:val="20"/>
        </w:rPr>
        <w:t>Goce</w:t>
      </w:r>
      <w:proofErr w:type="spellEnd"/>
      <w:r w:rsidRPr="006673B0">
        <w:rPr>
          <w:rFonts w:ascii="Arial" w:hAnsi="Arial" w:cs="Arial"/>
          <w:bCs/>
          <w:sz w:val="20"/>
          <w:szCs w:val="20"/>
        </w:rPr>
        <w:t xml:space="preserve"> </w:t>
      </w:r>
      <w:proofErr w:type="spellStart"/>
      <w:r w:rsidRPr="006673B0">
        <w:rPr>
          <w:rFonts w:ascii="Arial" w:hAnsi="Arial" w:cs="Arial"/>
          <w:bCs/>
          <w:sz w:val="20"/>
          <w:szCs w:val="20"/>
        </w:rPr>
        <w:t>Delcev</w:t>
      </w:r>
      <w:proofErr w:type="spellEnd"/>
      <w:r w:rsidRPr="006673B0">
        <w:rPr>
          <w:rFonts w:ascii="Arial" w:hAnsi="Arial" w:cs="Arial"/>
          <w:bCs/>
          <w:sz w:val="20"/>
          <w:szCs w:val="20"/>
        </w:rPr>
        <w:t xml:space="preserve"> University of </w:t>
      </w:r>
      <w:proofErr w:type="spellStart"/>
      <w:r w:rsidRPr="006673B0">
        <w:rPr>
          <w:rFonts w:ascii="Arial" w:hAnsi="Arial" w:cs="Arial"/>
          <w:bCs/>
          <w:sz w:val="20"/>
          <w:szCs w:val="20"/>
        </w:rPr>
        <w:t>Stip</w:t>
      </w:r>
      <w:proofErr w:type="spellEnd"/>
      <w:r w:rsidRPr="006673B0">
        <w:rPr>
          <w:rFonts w:ascii="Arial" w:hAnsi="Arial" w:cs="Arial"/>
          <w:bCs/>
          <w:sz w:val="20"/>
          <w:szCs w:val="20"/>
        </w:rPr>
        <w:t>, Faculty of tourism and business</w:t>
      </w:r>
    </w:p>
    <w:p w14:paraId="7A11BC49" w14:textId="032E02EE" w:rsidR="006673B0" w:rsidRPr="006673B0" w:rsidRDefault="006673B0" w:rsidP="006673B0">
      <w:pPr>
        <w:jc w:val="center"/>
        <w:rPr>
          <w:rFonts w:ascii="Arial" w:hAnsi="Arial" w:cs="Arial"/>
          <w:bCs/>
          <w:sz w:val="20"/>
          <w:szCs w:val="20"/>
        </w:rPr>
      </w:pPr>
      <w:r w:rsidRPr="006673B0">
        <w:rPr>
          <w:rFonts w:ascii="Arial" w:hAnsi="Arial" w:cs="Arial"/>
          <w:bCs/>
          <w:sz w:val="20"/>
          <w:szCs w:val="20"/>
        </w:rPr>
        <w:t xml:space="preserve">logistics, </w:t>
      </w:r>
      <w:proofErr w:type="spellStart"/>
      <w:proofErr w:type="gramStart"/>
      <w:r w:rsidRPr="006673B0">
        <w:rPr>
          <w:rFonts w:ascii="Arial" w:hAnsi="Arial" w:cs="Arial"/>
          <w:bCs/>
          <w:sz w:val="20"/>
          <w:szCs w:val="20"/>
        </w:rPr>
        <w:t>R.North</w:t>
      </w:r>
      <w:proofErr w:type="spellEnd"/>
      <w:proofErr w:type="gramEnd"/>
      <w:r w:rsidRPr="006673B0">
        <w:rPr>
          <w:rFonts w:ascii="Arial" w:hAnsi="Arial" w:cs="Arial"/>
          <w:bCs/>
          <w:sz w:val="20"/>
          <w:szCs w:val="20"/>
        </w:rPr>
        <w:t xml:space="preserve"> Macedonia, e-mail:  </w:t>
      </w:r>
      <w:hyperlink r:id="rId9" w:history="1">
        <w:r w:rsidRPr="00731607">
          <w:rPr>
            <w:rStyle w:val="Hyperlink"/>
            <w:rFonts w:ascii="Arial" w:hAnsi="Arial" w:cs="Arial"/>
            <w:bCs/>
            <w:sz w:val="20"/>
            <w:szCs w:val="20"/>
          </w:rPr>
          <w:t>tatjana.dzaleva@ugd.edu.mk</w:t>
        </w:r>
      </w:hyperlink>
      <w:r w:rsidRPr="006673B0">
        <w:rPr>
          <w:rFonts w:ascii="Arial" w:hAnsi="Arial" w:cs="Arial"/>
          <w:bCs/>
          <w:sz w:val="20"/>
          <w:szCs w:val="20"/>
        </w:rPr>
        <w:t>;</w:t>
      </w:r>
      <w:r>
        <w:rPr>
          <w:rFonts w:ascii="Arial" w:hAnsi="Arial" w:cs="Arial"/>
          <w:bCs/>
          <w:sz w:val="20"/>
          <w:szCs w:val="20"/>
        </w:rPr>
        <w:t xml:space="preserve"> </w:t>
      </w:r>
      <w:r w:rsidRPr="006673B0">
        <w:rPr>
          <w:rFonts w:ascii="Arial" w:hAnsi="Arial" w:cs="Arial"/>
          <w:bCs/>
          <w:sz w:val="20"/>
          <w:szCs w:val="20"/>
        </w:rPr>
        <w:t>ORCID: 0000-0001-8821-9223</w:t>
      </w:r>
    </w:p>
    <w:p w14:paraId="0FE1E336" w14:textId="77777777" w:rsidR="005555D3" w:rsidRPr="009F1F75" w:rsidRDefault="005555D3" w:rsidP="00D8451C">
      <w:pPr>
        <w:jc w:val="both"/>
        <w:rPr>
          <w:rFonts w:ascii="Arial" w:hAnsi="Arial" w:cs="Arial"/>
          <w:b/>
        </w:rPr>
      </w:pPr>
    </w:p>
    <w:p w14:paraId="67D653B3" w14:textId="77777777" w:rsidR="00D8451C" w:rsidRPr="009F1F75" w:rsidRDefault="00D8451C" w:rsidP="00D8451C">
      <w:pPr>
        <w:jc w:val="both"/>
        <w:rPr>
          <w:rFonts w:ascii="Arial" w:hAnsi="Arial" w:cs="Arial"/>
        </w:rPr>
      </w:pPr>
      <w:r w:rsidRPr="009F1F75">
        <w:rPr>
          <w:rFonts w:ascii="Arial" w:hAnsi="Arial" w:cs="Arial"/>
          <w:b/>
        </w:rPr>
        <w:t>Abstract</w:t>
      </w:r>
      <w:r w:rsidRPr="009F1F75">
        <w:rPr>
          <w:rFonts w:ascii="Arial" w:hAnsi="Arial" w:cs="Arial"/>
        </w:rPr>
        <w:t xml:space="preserve"> </w:t>
      </w:r>
    </w:p>
    <w:p w14:paraId="2455E600" w14:textId="77777777" w:rsidR="00D8451C" w:rsidRPr="009F1F75" w:rsidRDefault="007906D0" w:rsidP="00D8451C">
      <w:pPr>
        <w:jc w:val="both"/>
        <w:rPr>
          <w:rFonts w:ascii="Arial" w:hAnsi="Arial" w:cs="Arial"/>
        </w:rPr>
      </w:pPr>
      <w:r w:rsidRPr="009F1F75">
        <w:rPr>
          <w:rFonts w:ascii="Arial" w:hAnsi="Arial" w:cs="Arial"/>
          <w:lang w:val="pt-PT"/>
        </w:rPr>
        <w:t>The circular economy represents a regenerative concept of the functioning of the economy and society, which aims at a more efficient allocation of resources and their use with the application of the principles of recycling and reducing the rate of waste generation to protect the environment. At the same time, the circular economy transforms and absorbs the existing industrial waste generation to create energy that encourages the further sustainable development of industrial ecosystems by directing processes to improve general business conditions. The primary methodological framework of this research is based on the selection of circular economy indicators and their performance at the level of the European Union for the five years 2017-2021, based on the latest available data from the Eurostat Database. By analyzing the five-year average values of circular economy indicators, using hierarchical cluster analysis using the agglomerative procedure, the European Union members are grouped by similarity into six clusters. Descriptive statistics within a cluster can determine the dominance of a particular cluster and progress in the area of the circular economy. Based on the results obtained, the most significant progress in circular performance was achieved by Croatia, Estonia and Latvia.</w:t>
      </w:r>
    </w:p>
    <w:p w14:paraId="0E655E07" w14:textId="77777777" w:rsidR="00D8451C" w:rsidRPr="009F1F75" w:rsidRDefault="00D8451C" w:rsidP="00D8451C">
      <w:pPr>
        <w:jc w:val="both"/>
        <w:rPr>
          <w:rFonts w:ascii="Arial" w:hAnsi="Arial" w:cs="Arial"/>
        </w:rPr>
      </w:pPr>
      <w:r w:rsidRPr="009F1F75">
        <w:rPr>
          <w:rFonts w:ascii="Arial" w:hAnsi="Arial" w:cs="Arial"/>
          <w:b/>
        </w:rPr>
        <w:t>Key words:</w:t>
      </w:r>
      <w:r w:rsidRPr="009F1F75">
        <w:rPr>
          <w:rFonts w:ascii="Arial" w:hAnsi="Arial" w:cs="Arial"/>
        </w:rPr>
        <w:t xml:space="preserve"> </w:t>
      </w:r>
      <w:r w:rsidR="007906D0" w:rsidRPr="009F1F75">
        <w:rPr>
          <w:rFonts w:ascii="Arial" w:hAnsi="Arial" w:cs="Arial"/>
          <w:i/>
        </w:rPr>
        <w:t>Circular economy, European Union, Cluster analysis, Agglomerative procedure, Indicators</w:t>
      </w:r>
    </w:p>
    <w:p w14:paraId="61D4E5B8" w14:textId="77777777" w:rsidR="00961E92" w:rsidRPr="009F1F75" w:rsidRDefault="00961E92" w:rsidP="00D8451C">
      <w:pPr>
        <w:jc w:val="both"/>
        <w:rPr>
          <w:rFonts w:ascii="Arial" w:hAnsi="Arial" w:cs="Arial"/>
          <w:b/>
          <w:bCs/>
        </w:rPr>
      </w:pPr>
    </w:p>
    <w:p w14:paraId="3F7DA002" w14:textId="77777777" w:rsidR="00961E92" w:rsidRPr="009F1F75" w:rsidRDefault="00961E92" w:rsidP="00D8451C">
      <w:pPr>
        <w:jc w:val="both"/>
        <w:rPr>
          <w:rFonts w:ascii="Arial" w:hAnsi="Arial" w:cs="Arial"/>
          <w:b/>
          <w:bCs/>
        </w:rPr>
      </w:pPr>
      <w:r w:rsidRPr="009F1F75">
        <w:rPr>
          <w:rFonts w:ascii="Arial" w:hAnsi="Arial" w:cs="Arial"/>
          <w:b/>
          <w:bCs/>
        </w:rPr>
        <w:t>JEL Classification:</w:t>
      </w:r>
      <w:r w:rsidR="00E3759C">
        <w:rPr>
          <w:rFonts w:ascii="Arial" w:hAnsi="Arial" w:cs="Arial"/>
          <w:b/>
          <w:bCs/>
        </w:rPr>
        <w:t xml:space="preserve"> C38, Q57</w:t>
      </w:r>
    </w:p>
    <w:p w14:paraId="5170303C" w14:textId="77777777" w:rsidR="00D8451C" w:rsidRPr="009F1F75" w:rsidRDefault="00D8451C" w:rsidP="00D8451C">
      <w:pPr>
        <w:jc w:val="both"/>
        <w:rPr>
          <w:rFonts w:ascii="Arial" w:hAnsi="Arial" w:cs="Arial"/>
          <w:lang w:val="pt-PT"/>
        </w:rPr>
      </w:pPr>
    </w:p>
    <w:p w14:paraId="57F760E3" w14:textId="77777777" w:rsidR="00D8451C" w:rsidRPr="009F1F75" w:rsidRDefault="00D8451C" w:rsidP="00D8451C">
      <w:pPr>
        <w:jc w:val="both"/>
        <w:rPr>
          <w:rFonts w:ascii="Arial" w:hAnsi="Arial" w:cs="Arial"/>
          <w:b/>
          <w:lang w:val="pt-PT"/>
        </w:rPr>
      </w:pPr>
      <w:r w:rsidRPr="009F1F75">
        <w:rPr>
          <w:rFonts w:ascii="Arial" w:hAnsi="Arial" w:cs="Arial"/>
          <w:b/>
          <w:lang w:val="pt-PT"/>
        </w:rPr>
        <w:t>INTRODUCTION</w:t>
      </w:r>
    </w:p>
    <w:p w14:paraId="484CBE4E" w14:textId="77777777" w:rsidR="00471483" w:rsidRDefault="007906D0" w:rsidP="00471483">
      <w:pPr>
        <w:pStyle w:val="show"/>
        <w:shd w:val="clear" w:color="auto" w:fill="FFFFFF"/>
        <w:spacing w:before="0" w:beforeAutospacing="0" w:after="0" w:afterAutospacing="0"/>
        <w:jc w:val="both"/>
        <w:rPr>
          <w:rFonts w:ascii="Arial" w:hAnsi="Arial" w:cs="Arial"/>
          <w:sz w:val="22"/>
          <w:szCs w:val="20"/>
        </w:rPr>
      </w:pPr>
      <w:r w:rsidRPr="009F1F75">
        <w:rPr>
          <w:rFonts w:ascii="Arial" w:hAnsi="Arial" w:cs="Arial"/>
          <w:sz w:val="22"/>
          <w:szCs w:val="20"/>
          <w:lang w:val="sr-Cyrl-ME"/>
        </w:rPr>
        <w:t>At the macroeconomic level, the circular economy implies the separation of economic growth from the use of natural resources and inputs. Ideally, the rate of resource extraction should remain below the rate of resource consumption, and the rate of waste production should be below the ability of the environment to absorb and transform waste. A circular economy can also be seen as a regenerative system where resource input and waste, emissions, and energy leakage are minimized through long-term design, maintenance, repair, reuse, sharing, remanufacturing, refurbishment, and recycling activities. The traditional model of industrial activity in which individual production processes take raw materials and produce products for sale plus waste to be disposed of should be transformed into a more integrated model ie. an industrial ecosystem. In such a system, the consumption of energy and materials is optimized, the generation of waste is reduced to a minimum, and the effluents of one process serve as raw materials for another process</w:t>
      </w:r>
      <w:r w:rsidRPr="009F1F75">
        <w:rPr>
          <w:rFonts w:ascii="Arial" w:hAnsi="Arial" w:cs="Arial"/>
          <w:sz w:val="22"/>
          <w:szCs w:val="20"/>
          <w:lang w:val="sr-Latn-RS"/>
        </w:rPr>
        <w:t xml:space="preserve"> (Vranjanac, Ž. et al., 2023)</w:t>
      </w:r>
      <w:r w:rsidRPr="009F1F75">
        <w:rPr>
          <w:rFonts w:ascii="Arial" w:hAnsi="Arial" w:cs="Arial"/>
          <w:sz w:val="22"/>
          <w:szCs w:val="20"/>
          <w:lang w:val="sr-Cyrl-ME"/>
        </w:rPr>
        <w:t>.</w:t>
      </w:r>
      <w:r w:rsidRPr="009F1F75">
        <w:rPr>
          <w:rFonts w:ascii="Arial" w:hAnsi="Arial" w:cs="Arial"/>
          <w:sz w:val="22"/>
          <w:szCs w:val="20"/>
          <w:lang w:val="sr-Latn-RS"/>
        </w:rPr>
        <w:t xml:space="preserve"> </w:t>
      </w:r>
      <w:r w:rsidRPr="009F1F75">
        <w:rPr>
          <w:rFonts w:ascii="Arial" w:hAnsi="Arial" w:cs="Arial"/>
          <w:sz w:val="22"/>
          <w:szCs w:val="20"/>
          <w:lang w:val="sr-Cyrl-ME"/>
        </w:rPr>
        <w:t>The circular economy, an inspiring concept that is gaining enormous attention worldwide, deals with the effective scaling of sustainable economic models within planetary boundaries. The principle of extending the life cycle of materials, to keep the value of products and materials as long as possible, is central to this vision, as well as the transition to renewable energy, respect for biodiversity, social balance, and social inclusion. Working on a circular economy means working on the most sustainable development goals, not as a cost item, but as a business model. In some parts of the world, action is taking place within the framework of sustainable development goals, in other countries, climate issues are the dominant driver of action. Some focus on measures that create economically sustainable cities, while there are also regions that have started the transition to a circular economy</w:t>
      </w:r>
      <w:r w:rsidRPr="009F1F75">
        <w:rPr>
          <w:rFonts w:ascii="Arial" w:hAnsi="Arial" w:cs="Arial"/>
          <w:sz w:val="22"/>
          <w:szCs w:val="20"/>
          <w:lang w:val="sr-Latn-RS"/>
        </w:rPr>
        <w:t xml:space="preserve"> (Vranjanac, Ž., </w:t>
      </w:r>
      <w:r w:rsidRPr="00471483">
        <w:rPr>
          <w:rFonts w:ascii="Arial" w:eastAsia="Calibri" w:hAnsi="Arial" w:cs="Arial"/>
          <w:kern w:val="2"/>
          <w:sz w:val="22"/>
          <w:szCs w:val="20"/>
          <w:lang w:val="sr-Latn-RS"/>
        </w:rPr>
        <w:t xml:space="preserve">&amp; </w:t>
      </w:r>
      <w:r w:rsidRPr="009F1F75">
        <w:rPr>
          <w:rFonts w:ascii="Arial" w:hAnsi="Arial" w:cs="Arial"/>
          <w:sz w:val="22"/>
          <w:szCs w:val="20"/>
          <w:lang w:val="sr-Latn-RS"/>
        </w:rPr>
        <w:t>Rađenović, Ž., 2022)</w:t>
      </w:r>
      <w:r w:rsidRPr="009F1F75">
        <w:rPr>
          <w:rFonts w:ascii="Arial" w:hAnsi="Arial" w:cs="Arial"/>
          <w:sz w:val="22"/>
          <w:szCs w:val="20"/>
          <w:lang w:val="sr-Cyrl-ME"/>
        </w:rPr>
        <w:t>.</w:t>
      </w:r>
      <w:r w:rsidRPr="009F1F75">
        <w:rPr>
          <w:rFonts w:ascii="Arial" w:hAnsi="Arial" w:cs="Arial"/>
          <w:sz w:val="22"/>
          <w:szCs w:val="20"/>
          <w:lang w:val="sr-Latn-RS"/>
        </w:rPr>
        <w:t xml:space="preserve"> </w:t>
      </w:r>
      <w:r w:rsidRPr="009F1F75">
        <w:rPr>
          <w:rFonts w:ascii="Arial" w:hAnsi="Arial" w:cs="Arial"/>
          <w:sz w:val="22"/>
          <w:szCs w:val="20"/>
          <w:lang w:val="sr-Cyrl-ME"/>
        </w:rPr>
        <w:t xml:space="preserve">Innovative </w:t>
      </w:r>
      <w:r w:rsidRPr="009F1F75">
        <w:rPr>
          <w:rFonts w:ascii="Arial" w:hAnsi="Arial" w:cs="Arial"/>
          <w:sz w:val="22"/>
          <w:szCs w:val="20"/>
          <w:lang w:val="sr-Cyrl-ME"/>
        </w:rPr>
        <w:lastRenderedPageBreak/>
        <w:t xml:space="preserve">models based on a closer relationship with customers, mass personalization, the sharing and collaboration economy, and digital technologies such as the Internet, big data, blockchains, and artificial intelligence will accelerate the transition to a circular economy, dematerialization of the economy and the reduction of Europe's dependence on primary raw materials. The circular economy will bring citizens high-quality, functional, and safe products that are efficient and affordable, last longer, and can be reused, repaired, and recycled with high quality. A whole range of new sustainable services, product-as-a-service models, and digital solutions will increase the quality of life of citizens, create innovative jobs, and </w:t>
      </w:r>
      <w:r w:rsidR="009F1F75">
        <w:rPr>
          <w:rFonts w:ascii="Arial" w:hAnsi="Arial" w:cs="Arial"/>
          <w:sz w:val="22"/>
          <w:szCs w:val="20"/>
          <w:lang w:val="sr-Cyrl-ME"/>
        </w:rPr>
        <w:t>modernize knowledge and skills.</w:t>
      </w:r>
      <w:r w:rsidRPr="009F1F75">
        <w:rPr>
          <w:rFonts w:ascii="Arial" w:hAnsi="Arial" w:cs="Arial"/>
          <w:sz w:val="22"/>
          <w:szCs w:val="20"/>
        </w:rPr>
        <w:t>The circular economy has become an attractive and challenging concept in the wide debate on public policy, yet the actual implementation of this concept is still debatable (</w:t>
      </w:r>
      <w:r w:rsidRPr="00471483">
        <w:rPr>
          <w:rFonts w:ascii="Arial" w:eastAsia="Calibri" w:hAnsi="Arial" w:cs="Arial"/>
          <w:kern w:val="2"/>
          <w:sz w:val="22"/>
          <w:szCs w:val="20"/>
          <w:lang w:val="sr-Latn-RS"/>
        </w:rPr>
        <w:t>Ren, Q., &amp; Albrecht, J., 2023)</w:t>
      </w:r>
      <w:r w:rsidRPr="009F1F75">
        <w:rPr>
          <w:rFonts w:ascii="Arial" w:hAnsi="Arial" w:cs="Arial"/>
          <w:sz w:val="22"/>
          <w:szCs w:val="20"/>
        </w:rPr>
        <w:t xml:space="preserve">. </w:t>
      </w:r>
      <w:proofErr w:type="gramStart"/>
      <w:r w:rsidRPr="009F1F75">
        <w:rPr>
          <w:rFonts w:ascii="Arial" w:hAnsi="Arial" w:cs="Arial"/>
          <w:sz w:val="22"/>
          <w:szCs w:val="20"/>
        </w:rPr>
        <w:t>Similar to</w:t>
      </w:r>
      <w:proofErr w:type="gramEnd"/>
      <w:r w:rsidRPr="009F1F75">
        <w:rPr>
          <w:rFonts w:ascii="Arial" w:hAnsi="Arial" w:cs="Arial"/>
          <w:sz w:val="22"/>
          <w:szCs w:val="20"/>
        </w:rPr>
        <w:t xml:space="preserve"> sustainable development, the circular economy is a fluid concept that is still evolving (</w:t>
      </w:r>
      <w:r w:rsidRPr="00471483">
        <w:rPr>
          <w:rFonts w:ascii="Arial" w:eastAsia="Calibri" w:hAnsi="Arial" w:cs="Arial"/>
          <w:kern w:val="2"/>
          <w:sz w:val="22"/>
          <w:szCs w:val="20"/>
          <w:lang w:val="sr-Latn-RS"/>
        </w:rPr>
        <w:t>Velenturf, A. P., &amp; Purnell, P., 2021)</w:t>
      </w:r>
      <w:r w:rsidRPr="009F1F75">
        <w:rPr>
          <w:rFonts w:ascii="Arial" w:hAnsi="Arial" w:cs="Arial"/>
          <w:sz w:val="22"/>
          <w:szCs w:val="20"/>
        </w:rPr>
        <w:t xml:space="preserve">. </w:t>
      </w:r>
    </w:p>
    <w:p w14:paraId="432D8802" w14:textId="77777777" w:rsidR="00471483" w:rsidRDefault="007906D0" w:rsidP="00471483">
      <w:pPr>
        <w:pStyle w:val="show"/>
        <w:shd w:val="clear" w:color="auto" w:fill="FFFFFF"/>
        <w:spacing w:before="0" w:beforeAutospacing="0" w:after="0" w:afterAutospacing="0"/>
        <w:jc w:val="both"/>
        <w:rPr>
          <w:rFonts w:ascii="Arial" w:hAnsi="Arial" w:cs="Arial"/>
          <w:sz w:val="22"/>
          <w:szCs w:val="20"/>
          <w:lang w:val="sr-Cyrl-ME"/>
        </w:rPr>
      </w:pPr>
      <w:r w:rsidRPr="009F1F75">
        <w:rPr>
          <w:rFonts w:ascii="Arial" w:hAnsi="Arial" w:cs="Arial"/>
          <w:sz w:val="22"/>
          <w:szCs w:val="20"/>
        </w:rPr>
        <w:t>The concept of the circular economy (CE) has become very popular since it was introduced by policymakers from China and the European Union as a solution that will enable countries, businesses, and consumers to reduce environmental damage and close the loop of the product life cycle (</w:t>
      </w:r>
      <w:r w:rsidRPr="00471483">
        <w:rPr>
          <w:rFonts w:ascii="Arial" w:eastAsia="Calibri" w:hAnsi="Arial" w:cs="Arial"/>
          <w:kern w:val="2"/>
          <w:sz w:val="22"/>
          <w:szCs w:val="20"/>
          <w:lang w:val="sr-Latn-RS"/>
        </w:rPr>
        <w:t>Prieto-Sandoval, V., Jaca, C., &amp; Ormazabal, M., 2018)</w:t>
      </w:r>
      <w:r w:rsidRPr="009F1F75">
        <w:rPr>
          <w:rFonts w:ascii="Arial" w:hAnsi="Arial" w:cs="Arial"/>
          <w:sz w:val="22"/>
          <w:szCs w:val="20"/>
        </w:rPr>
        <w:t>. In a linear economy, natural resources are used to produce new products. Consumers buy products, use them for a while, and then dispose of them. However, as the ecological and economic drawbacks of this system become increasingly apparent, there is a growing need for a new and more sustainable approach (</w:t>
      </w:r>
      <w:r w:rsidRPr="00471483">
        <w:rPr>
          <w:rFonts w:ascii="Arial" w:eastAsia="Calibri" w:hAnsi="Arial" w:cs="Arial"/>
          <w:kern w:val="2"/>
          <w:sz w:val="22"/>
          <w:szCs w:val="20"/>
          <w:lang w:val="sr-Latn-RS"/>
        </w:rPr>
        <w:t>Alberich, J. P. et al., 2023)</w:t>
      </w:r>
      <w:r w:rsidRPr="009F1F75">
        <w:rPr>
          <w:rFonts w:ascii="Arial" w:hAnsi="Arial" w:cs="Arial"/>
          <w:sz w:val="22"/>
          <w:szCs w:val="20"/>
        </w:rPr>
        <w:t>. The central idea of the circular economy concept is to align economic and environmental benefits while reducing dependence on natural resources, achieved through material circulation in the business environment (</w:t>
      </w:r>
      <w:r w:rsidRPr="00471483">
        <w:rPr>
          <w:rFonts w:ascii="Arial" w:eastAsia="Calibri" w:hAnsi="Arial" w:cs="Arial"/>
          <w:kern w:val="2"/>
          <w:sz w:val="22"/>
          <w:szCs w:val="20"/>
          <w:lang w:val="sr-Latn-RS"/>
        </w:rPr>
        <w:t>Geissdoerfer, M. et al., 2020.)</w:t>
      </w:r>
      <w:r w:rsidRPr="009F1F75">
        <w:rPr>
          <w:rFonts w:ascii="Arial" w:hAnsi="Arial" w:cs="Arial"/>
          <w:sz w:val="22"/>
          <w:szCs w:val="20"/>
        </w:rPr>
        <w:t xml:space="preserve"> In a planned circular cycle, governments centrally guide the transition of the economy, using strong coercive measures such as command and control regulations on production and consumption, introducing taxes, strict limitations, and bans on certain activities (</w:t>
      </w:r>
      <w:proofErr w:type="spellStart"/>
      <w:r w:rsidRPr="009F1F75">
        <w:rPr>
          <w:rFonts w:ascii="Arial" w:hAnsi="Arial" w:cs="Arial"/>
          <w:sz w:val="22"/>
          <w:szCs w:val="20"/>
        </w:rPr>
        <w:t>Boonman</w:t>
      </w:r>
      <w:proofErr w:type="spellEnd"/>
      <w:r w:rsidRPr="009F1F75">
        <w:rPr>
          <w:rFonts w:ascii="Arial" w:hAnsi="Arial" w:cs="Arial"/>
          <w:sz w:val="22"/>
          <w:szCs w:val="20"/>
        </w:rPr>
        <w:t xml:space="preserve">, H. et al., 2023). Circular consumption places consumers in difficult choices and compromises, while the fundamental technological orientation of the circular economy approach and its ecological modernist idea of gradually adapting the existing production system to the constraints of material resources tend to sideline temporality and spatiality in consumption. According to the principles of the circular economy, energy incineration should be the penultimate option, while landfill disposal should be the last option. In this way, the value chain of products and the life cycle retain the highest possible value and quality for as long as possible, while also being as </w:t>
      </w:r>
      <w:proofErr w:type="gramStart"/>
      <w:r w:rsidRPr="009F1F75">
        <w:rPr>
          <w:rFonts w:ascii="Arial" w:hAnsi="Arial" w:cs="Arial"/>
          <w:sz w:val="22"/>
          <w:szCs w:val="20"/>
        </w:rPr>
        <w:t>energy-efficient</w:t>
      </w:r>
      <w:proofErr w:type="gramEnd"/>
      <w:r w:rsidRPr="009F1F75">
        <w:rPr>
          <w:rFonts w:ascii="Arial" w:hAnsi="Arial" w:cs="Arial"/>
          <w:sz w:val="22"/>
          <w:szCs w:val="20"/>
        </w:rPr>
        <w:t xml:space="preserve"> as possible (Korhonen, J. et al., 2018). When raw material is extracted, refined, and produced at customary costs, it economically and business-wise makes sense for the produced value to be used for as long as possible, to keep the product/service function and utility value in economic circulation for as long as possible. Waste generation is one of the consequences of the traditional linear production process that has been observed in recent decades. The pattern of extraction of primary materials, production, consumption, and disposal, accelerated by economic development, has increased the amount of generated waste (</w:t>
      </w:r>
      <w:r w:rsidRPr="00471483">
        <w:rPr>
          <w:rFonts w:ascii="Arial" w:eastAsia="Calibri" w:hAnsi="Arial" w:cs="Arial"/>
          <w:kern w:val="2"/>
          <w:sz w:val="22"/>
          <w:szCs w:val="20"/>
          <w:lang w:val="sr-Latn-RS"/>
        </w:rPr>
        <w:t>Neves, S. A., &amp; Marques, A. C., 2022).</w:t>
      </w:r>
      <w:r w:rsidRPr="009F1F75">
        <w:rPr>
          <w:rFonts w:ascii="Arial" w:hAnsi="Arial" w:cs="Arial"/>
          <w:sz w:val="22"/>
          <w:szCs w:val="20"/>
        </w:rPr>
        <w:t xml:space="preserve"> The circular economy (CE) is based on a transdisciplinary discussion aimed at achieving circularity in the management of natural resources. Understanding the cycle of material flow reversal is a potential competitive advantage for businesses, while CE also </w:t>
      </w:r>
      <w:proofErr w:type="gramStart"/>
      <w:r w:rsidRPr="009F1F75">
        <w:rPr>
          <w:rFonts w:ascii="Arial" w:hAnsi="Arial" w:cs="Arial"/>
          <w:sz w:val="22"/>
          <w:szCs w:val="20"/>
        </w:rPr>
        <w:t>opens up</w:t>
      </w:r>
      <w:proofErr w:type="gramEnd"/>
      <w:r w:rsidRPr="009F1F75">
        <w:rPr>
          <w:rFonts w:ascii="Arial" w:hAnsi="Arial" w:cs="Arial"/>
          <w:sz w:val="22"/>
          <w:szCs w:val="20"/>
        </w:rPr>
        <w:t xml:space="preserve"> employment opportunities, developing expertise in legal, mechanical, operational, or cross-sectoral challenges. Circular economy methods are highly </w:t>
      </w:r>
      <w:proofErr w:type="gramStart"/>
      <w:r w:rsidRPr="009F1F75">
        <w:rPr>
          <w:rFonts w:ascii="Arial" w:hAnsi="Arial" w:cs="Arial"/>
          <w:sz w:val="22"/>
          <w:szCs w:val="20"/>
        </w:rPr>
        <w:t>scalable,</w:t>
      </w:r>
      <w:proofErr w:type="gramEnd"/>
      <w:r w:rsidRPr="009F1F75">
        <w:rPr>
          <w:rFonts w:ascii="Arial" w:hAnsi="Arial" w:cs="Arial"/>
          <w:sz w:val="22"/>
          <w:szCs w:val="20"/>
        </w:rPr>
        <w:t xml:space="preserve"> therefore, CE is capable of stimulating growth and attracting investment capital. The circular economy is regenerative by design, in which economic activity builds and restores the overall health of the system (</w:t>
      </w:r>
      <w:r w:rsidRPr="00471483">
        <w:rPr>
          <w:rFonts w:ascii="Arial" w:eastAsia="Calibri" w:hAnsi="Arial" w:cs="Arial"/>
          <w:kern w:val="2"/>
          <w:sz w:val="22"/>
          <w:szCs w:val="20"/>
          <w:lang w:val="sr-Latn-RS"/>
        </w:rPr>
        <w:t>Nunes, A. M. M. et al., 2023)</w:t>
      </w:r>
      <w:r w:rsidRPr="009F1F75">
        <w:rPr>
          <w:rFonts w:ascii="Arial" w:hAnsi="Arial" w:cs="Arial"/>
          <w:sz w:val="22"/>
          <w:szCs w:val="20"/>
        </w:rPr>
        <w:t xml:space="preserve"> The concept of the circular economy recognizes the importance of an economy that should operate efficiently at all levels, for large and small enterprises, for organizations and individuals, globally and locally.</w:t>
      </w:r>
    </w:p>
    <w:p w14:paraId="44C78E1E" w14:textId="77777777" w:rsidR="00471483" w:rsidRDefault="00471483" w:rsidP="00471483">
      <w:pPr>
        <w:pStyle w:val="show"/>
        <w:shd w:val="clear" w:color="auto" w:fill="FFFFFF"/>
        <w:spacing w:before="0" w:beforeAutospacing="0" w:after="0" w:afterAutospacing="0"/>
        <w:jc w:val="both"/>
        <w:rPr>
          <w:rFonts w:ascii="Arial" w:hAnsi="Arial" w:cs="Arial"/>
          <w:sz w:val="22"/>
          <w:szCs w:val="20"/>
          <w:lang w:val="sr-Cyrl-ME"/>
        </w:rPr>
      </w:pPr>
    </w:p>
    <w:p w14:paraId="36A3E320" w14:textId="77777777" w:rsidR="00471483" w:rsidRDefault="00471483" w:rsidP="00471483">
      <w:pPr>
        <w:pStyle w:val="show"/>
        <w:shd w:val="clear" w:color="auto" w:fill="FFFFFF"/>
        <w:spacing w:before="0" w:beforeAutospacing="0" w:after="0" w:afterAutospacing="0"/>
        <w:jc w:val="both"/>
        <w:rPr>
          <w:rFonts w:ascii="Arial" w:hAnsi="Arial" w:cs="Arial"/>
          <w:sz w:val="22"/>
          <w:szCs w:val="20"/>
          <w:lang w:val="sr-Cyrl-ME"/>
        </w:rPr>
      </w:pPr>
    </w:p>
    <w:p w14:paraId="484D0E61" w14:textId="77777777" w:rsidR="00471483" w:rsidRDefault="00471483" w:rsidP="00471483">
      <w:pPr>
        <w:pStyle w:val="show"/>
        <w:shd w:val="clear" w:color="auto" w:fill="FFFFFF"/>
        <w:spacing w:before="0" w:beforeAutospacing="0" w:after="0" w:afterAutospacing="0"/>
        <w:jc w:val="both"/>
        <w:rPr>
          <w:rFonts w:ascii="Arial" w:hAnsi="Arial" w:cs="Arial"/>
          <w:sz w:val="22"/>
          <w:szCs w:val="20"/>
          <w:lang w:val="sr-Cyrl-ME"/>
        </w:rPr>
      </w:pPr>
    </w:p>
    <w:p w14:paraId="4F2D6B37" w14:textId="77777777" w:rsidR="00471483" w:rsidRPr="009F1F75" w:rsidRDefault="00471483" w:rsidP="00471483">
      <w:pPr>
        <w:pStyle w:val="show"/>
        <w:shd w:val="clear" w:color="auto" w:fill="FFFFFF"/>
        <w:spacing w:before="0" w:beforeAutospacing="0" w:after="0" w:afterAutospacing="0"/>
        <w:jc w:val="both"/>
        <w:rPr>
          <w:rFonts w:ascii="Arial" w:hAnsi="Arial" w:cs="Arial"/>
          <w:sz w:val="22"/>
          <w:szCs w:val="20"/>
          <w:lang w:val="sr-Cyrl-ME"/>
        </w:rPr>
      </w:pPr>
    </w:p>
    <w:p w14:paraId="1C76FDDE" w14:textId="77777777" w:rsidR="00D8451C" w:rsidRPr="009F1F75" w:rsidRDefault="00D8451C" w:rsidP="00D8451C">
      <w:pPr>
        <w:jc w:val="both"/>
        <w:rPr>
          <w:rFonts w:ascii="Arial" w:hAnsi="Arial" w:cs="Arial"/>
          <w:b/>
          <w:lang w:val="pt-PT"/>
        </w:rPr>
      </w:pPr>
      <w:r w:rsidRPr="009F1F75">
        <w:rPr>
          <w:rFonts w:ascii="Arial" w:hAnsi="Arial" w:cs="Arial"/>
          <w:b/>
          <w:lang w:val="pt-PT"/>
        </w:rPr>
        <w:t>MATERIAL AND METHODS</w:t>
      </w:r>
    </w:p>
    <w:p w14:paraId="1BF5DBCF" w14:textId="77777777" w:rsidR="007906D0" w:rsidRPr="009F1F75" w:rsidRDefault="007906D0" w:rsidP="007906D0">
      <w:pPr>
        <w:pStyle w:val="show"/>
        <w:shd w:val="clear" w:color="auto" w:fill="FFFFFF"/>
        <w:jc w:val="both"/>
        <w:rPr>
          <w:rFonts w:ascii="Arial" w:hAnsi="Arial" w:cs="Arial"/>
          <w:sz w:val="22"/>
          <w:szCs w:val="20"/>
        </w:rPr>
      </w:pPr>
      <w:r w:rsidRPr="009F1F75">
        <w:rPr>
          <w:rFonts w:ascii="Arial" w:hAnsi="Arial" w:cs="Arial"/>
          <w:sz w:val="22"/>
          <w:szCs w:val="20"/>
        </w:rPr>
        <w:t>The methodology applied in this research is mainly based on cluster analysis. The application of cluster analysis aims to group the EU member states based on selected indicators for the circular economy. Grouping the EU member states based on indicator values should contribute to understanding the similarities among countries in specific clusters regarding the implementation of circular economy policies. Additionally, by determining descriptive statistics for each cluster individually, the cluster with the best conditions for implementing the circular economy is identified, guiding for other member countries to progress in this area. In this regard, the authors use the indicator values for the EU27 from the last available five-year period (2017-2021), the Eurostat dataset for CE indicators (Circular Economy), as follows (Figure 1):</w:t>
      </w:r>
    </w:p>
    <w:p w14:paraId="41FE437B" w14:textId="77777777" w:rsidR="007906D0" w:rsidRPr="009F1F75" w:rsidRDefault="007906D0" w:rsidP="007906D0">
      <w:pPr>
        <w:numPr>
          <w:ilvl w:val="0"/>
          <w:numId w:val="5"/>
        </w:numPr>
        <w:shd w:val="clear" w:color="auto" w:fill="FFFFFF"/>
        <w:spacing w:before="100" w:beforeAutospacing="1" w:after="100" w:afterAutospacing="1"/>
        <w:jc w:val="both"/>
        <w:rPr>
          <w:rFonts w:ascii="Arial" w:eastAsia="Times New Roman" w:hAnsi="Arial" w:cs="Arial"/>
          <w:szCs w:val="20"/>
        </w:rPr>
      </w:pPr>
      <w:r w:rsidRPr="009F1F75">
        <w:rPr>
          <w:rFonts w:ascii="Arial" w:eastAsia="Times New Roman" w:hAnsi="Arial" w:cs="Arial"/>
          <w:szCs w:val="20"/>
        </w:rPr>
        <w:t>Municipal waste generation per capita (C1) - The indicator measures waste collected on behalf of municipal authorities and disposed of through the waste management system. It largely consists of waste generated by households, although similar waste from sources such as trade, offices, and public institutions may also be included (</w:t>
      </w:r>
      <w:r w:rsidRPr="009F1F75">
        <w:rPr>
          <w:rFonts w:ascii="Arial" w:eastAsia="Times New Roman" w:hAnsi="Arial" w:cs="Arial"/>
          <w:szCs w:val="20"/>
          <w:lang w:val="sr-Latn-RS"/>
        </w:rPr>
        <w:t>Eurostat, cei_pc031)</w:t>
      </w:r>
      <w:r w:rsidRPr="009F1F75">
        <w:rPr>
          <w:rFonts w:ascii="Arial" w:eastAsia="Times New Roman" w:hAnsi="Arial" w:cs="Arial"/>
          <w:szCs w:val="20"/>
        </w:rPr>
        <w:t>.</w:t>
      </w:r>
    </w:p>
    <w:p w14:paraId="526F90C3" w14:textId="77777777" w:rsidR="007906D0" w:rsidRPr="009F1F75" w:rsidRDefault="007906D0" w:rsidP="007906D0">
      <w:pPr>
        <w:numPr>
          <w:ilvl w:val="0"/>
          <w:numId w:val="5"/>
        </w:numPr>
        <w:shd w:val="clear" w:color="auto" w:fill="FFFFFF"/>
        <w:spacing w:before="100" w:beforeAutospacing="1" w:after="100" w:afterAutospacing="1"/>
        <w:jc w:val="both"/>
        <w:rPr>
          <w:rFonts w:ascii="Arial" w:eastAsia="Times New Roman" w:hAnsi="Arial" w:cs="Arial"/>
          <w:szCs w:val="20"/>
        </w:rPr>
      </w:pPr>
      <w:r w:rsidRPr="009F1F75">
        <w:rPr>
          <w:rFonts w:ascii="Arial" w:eastAsia="Times New Roman" w:hAnsi="Arial" w:cs="Arial"/>
          <w:szCs w:val="20"/>
        </w:rPr>
        <w:t>Packaging waste generation per capita (C2) - "Packaging" in this context refers to all products made from any material of any nature used for containment, protection, handling, delivery, and presentation of goods, from raw materials to processed goods, from producers to users or consumers. '</w:t>
      </w:r>
      <w:proofErr w:type="gramStart"/>
      <w:r w:rsidRPr="009F1F75">
        <w:rPr>
          <w:rFonts w:ascii="Arial" w:eastAsia="Times New Roman" w:hAnsi="Arial" w:cs="Arial"/>
          <w:szCs w:val="20"/>
        </w:rPr>
        <w:t>Single-use</w:t>
      </w:r>
      <w:proofErr w:type="gramEnd"/>
      <w:r w:rsidRPr="009F1F75">
        <w:rPr>
          <w:rFonts w:ascii="Arial" w:eastAsia="Times New Roman" w:hAnsi="Arial" w:cs="Arial"/>
          <w:szCs w:val="20"/>
        </w:rPr>
        <w:t>' items used for the same purposes will also be considered packaging. "Packaging waste" refers to any packaging or packaging material covered by the waste definition in the Waste Framework Directive 2008/98/EC, excluding production residues (</w:t>
      </w:r>
      <w:r w:rsidRPr="009F1F75">
        <w:rPr>
          <w:rFonts w:ascii="Arial" w:eastAsia="Times New Roman" w:hAnsi="Arial" w:cs="Arial"/>
          <w:szCs w:val="20"/>
          <w:lang w:val="sr-Latn-RS"/>
        </w:rPr>
        <w:t>Eurostat, cei_pc040)</w:t>
      </w:r>
      <w:r w:rsidRPr="009F1F75">
        <w:rPr>
          <w:rFonts w:ascii="Arial" w:eastAsia="Times New Roman" w:hAnsi="Arial" w:cs="Arial"/>
          <w:szCs w:val="20"/>
        </w:rPr>
        <w:t>.</w:t>
      </w:r>
    </w:p>
    <w:p w14:paraId="1D1162D5" w14:textId="77777777" w:rsidR="007906D0" w:rsidRPr="009F1F75" w:rsidRDefault="007906D0" w:rsidP="007906D0">
      <w:pPr>
        <w:numPr>
          <w:ilvl w:val="0"/>
          <w:numId w:val="5"/>
        </w:numPr>
        <w:shd w:val="clear" w:color="auto" w:fill="FFFFFF"/>
        <w:spacing w:before="100" w:beforeAutospacing="1" w:after="100" w:afterAutospacing="1"/>
        <w:jc w:val="both"/>
        <w:rPr>
          <w:rFonts w:ascii="Arial" w:eastAsia="Times New Roman" w:hAnsi="Arial" w:cs="Arial"/>
          <w:szCs w:val="20"/>
        </w:rPr>
      </w:pPr>
      <w:r w:rsidRPr="009F1F75">
        <w:rPr>
          <w:rFonts w:ascii="Arial" w:eastAsia="Times New Roman" w:hAnsi="Arial" w:cs="Arial"/>
          <w:szCs w:val="20"/>
        </w:rPr>
        <w:t>Recycling rate of materials (C3) - The indicator measures the proportion of materials that are recycled and returned to the economy - saving the extraction of primary raw materials - in the total material use. Circular material use, also known as the circularity rate, is defined as the ratio of circular material use (recycling) to total material use (</w:t>
      </w:r>
      <w:r w:rsidRPr="009F1F75">
        <w:rPr>
          <w:rFonts w:ascii="Arial" w:eastAsia="Times New Roman" w:hAnsi="Arial" w:cs="Arial"/>
          <w:szCs w:val="20"/>
          <w:lang w:val="sr-Latn-RS"/>
        </w:rPr>
        <w:t>Eurostat, cei_srm030)</w:t>
      </w:r>
      <w:r w:rsidRPr="009F1F75">
        <w:rPr>
          <w:rFonts w:ascii="Arial" w:eastAsia="Times New Roman" w:hAnsi="Arial" w:cs="Arial"/>
          <w:szCs w:val="20"/>
        </w:rPr>
        <w:t>.</w:t>
      </w:r>
    </w:p>
    <w:p w14:paraId="3F093EA0" w14:textId="77777777" w:rsidR="007906D0" w:rsidRPr="009F1F75" w:rsidRDefault="007906D0" w:rsidP="007906D0">
      <w:pPr>
        <w:numPr>
          <w:ilvl w:val="0"/>
          <w:numId w:val="5"/>
        </w:numPr>
        <w:shd w:val="clear" w:color="auto" w:fill="FFFFFF"/>
        <w:spacing w:before="100" w:beforeAutospacing="1" w:after="100" w:afterAutospacing="1"/>
        <w:jc w:val="both"/>
        <w:rPr>
          <w:rFonts w:ascii="Arial" w:eastAsia="Times New Roman" w:hAnsi="Arial" w:cs="Arial"/>
          <w:szCs w:val="20"/>
        </w:rPr>
      </w:pPr>
      <w:r w:rsidRPr="009F1F75">
        <w:rPr>
          <w:rFonts w:ascii="Arial" w:eastAsia="Times New Roman" w:hAnsi="Arial" w:cs="Arial"/>
          <w:szCs w:val="20"/>
        </w:rPr>
        <w:t>Recycling rate of packaging waste by type of packaging (C4) - The indicator is defined as the proportion of recycled packaging waste in the total generated packaging waste. Packaging waste includes waste material used for containment, protection, handling, delivery, and presentation of goods, from raw materials to processed goods, from producers to users or consumers, excluding production residues (</w:t>
      </w:r>
      <w:r w:rsidRPr="009F1F75">
        <w:rPr>
          <w:rFonts w:ascii="Arial" w:eastAsia="Times New Roman" w:hAnsi="Arial" w:cs="Arial"/>
          <w:szCs w:val="20"/>
          <w:lang w:val="sr-Latn-RS"/>
        </w:rPr>
        <w:t>Eurostat, cei_wm020)</w:t>
      </w:r>
      <w:r w:rsidRPr="009F1F75">
        <w:rPr>
          <w:rFonts w:ascii="Arial" w:eastAsia="Times New Roman" w:hAnsi="Arial" w:cs="Arial"/>
          <w:szCs w:val="20"/>
        </w:rPr>
        <w:t>.</w:t>
      </w:r>
    </w:p>
    <w:p w14:paraId="60B45145" w14:textId="77777777" w:rsidR="007906D0" w:rsidRPr="009F1F75" w:rsidRDefault="007906D0" w:rsidP="007906D0">
      <w:pPr>
        <w:numPr>
          <w:ilvl w:val="0"/>
          <w:numId w:val="5"/>
        </w:numPr>
        <w:shd w:val="clear" w:color="auto" w:fill="FFFFFF"/>
        <w:spacing w:before="100" w:beforeAutospacing="1" w:after="100" w:afterAutospacing="1"/>
        <w:jc w:val="both"/>
        <w:rPr>
          <w:rFonts w:ascii="Arial" w:eastAsia="Times New Roman" w:hAnsi="Arial" w:cs="Arial"/>
          <w:szCs w:val="20"/>
        </w:rPr>
      </w:pPr>
      <w:r w:rsidRPr="009F1F75">
        <w:rPr>
          <w:rFonts w:ascii="Arial" w:eastAsia="Times New Roman" w:hAnsi="Arial" w:cs="Arial"/>
          <w:szCs w:val="20"/>
        </w:rPr>
        <w:t>Patents related to waste management and recycling (C5) - The indicator measures the number of patents related to recycling and secondary raw materials (</w:t>
      </w:r>
      <w:r w:rsidRPr="009F1F75">
        <w:rPr>
          <w:rFonts w:ascii="Arial" w:eastAsia="Times New Roman" w:hAnsi="Arial" w:cs="Arial"/>
          <w:szCs w:val="20"/>
          <w:lang w:val="sr-Latn-RS"/>
        </w:rPr>
        <w:t>Eurostat, cie_cie020)</w:t>
      </w:r>
      <w:r w:rsidRPr="009F1F75">
        <w:rPr>
          <w:rFonts w:ascii="Arial" w:eastAsia="Times New Roman" w:hAnsi="Arial" w:cs="Arial"/>
          <w:szCs w:val="20"/>
        </w:rPr>
        <w:t>.</w:t>
      </w:r>
    </w:p>
    <w:p w14:paraId="009EB969" w14:textId="77777777" w:rsidR="007906D0" w:rsidRPr="009F1F75" w:rsidRDefault="007906D0" w:rsidP="007906D0">
      <w:pPr>
        <w:numPr>
          <w:ilvl w:val="0"/>
          <w:numId w:val="5"/>
        </w:numPr>
        <w:shd w:val="clear" w:color="auto" w:fill="FFFFFF"/>
        <w:spacing w:before="100" w:beforeAutospacing="1" w:after="100" w:afterAutospacing="1"/>
        <w:jc w:val="both"/>
        <w:rPr>
          <w:rFonts w:ascii="Arial" w:eastAsia="Times New Roman" w:hAnsi="Arial" w:cs="Arial"/>
          <w:szCs w:val="20"/>
        </w:rPr>
      </w:pPr>
      <w:r w:rsidRPr="009F1F75">
        <w:rPr>
          <w:rFonts w:ascii="Arial" w:eastAsia="Times New Roman" w:hAnsi="Arial" w:cs="Arial"/>
          <w:szCs w:val="20"/>
        </w:rPr>
        <w:t>Recycling rate of e-waste (C6) - Waste electrical and electronic equipment, also known as e-waste, such as computers, televisions, refrigerators, and mobile phones, is one of the fastest-growing waste streams in the EU. The indicator is calculated by multiplying the 'collection rate' as stated in the Directive with the 'reuse and recycling rate' established in the Directive (</w:t>
      </w:r>
      <w:r w:rsidRPr="009F1F75">
        <w:rPr>
          <w:rFonts w:ascii="Arial" w:eastAsia="Times New Roman" w:hAnsi="Arial" w:cs="Arial"/>
          <w:szCs w:val="20"/>
          <w:lang w:val="sr-Latn-RS"/>
        </w:rPr>
        <w:t>Eurostat, cei_wm050)</w:t>
      </w:r>
      <w:r w:rsidRPr="009F1F75">
        <w:rPr>
          <w:rFonts w:ascii="Arial" w:eastAsia="Times New Roman" w:hAnsi="Arial" w:cs="Arial"/>
          <w:szCs w:val="20"/>
        </w:rPr>
        <w:t>.</w:t>
      </w:r>
    </w:p>
    <w:p w14:paraId="643B8F7D" w14:textId="77777777" w:rsidR="007906D0" w:rsidRPr="009F1F75" w:rsidRDefault="007906D0" w:rsidP="007906D0">
      <w:pPr>
        <w:numPr>
          <w:ilvl w:val="0"/>
          <w:numId w:val="5"/>
        </w:numPr>
        <w:shd w:val="clear" w:color="auto" w:fill="FFFFFF"/>
        <w:spacing w:before="100" w:beforeAutospacing="1" w:after="100" w:afterAutospacing="1"/>
        <w:jc w:val="both"/>
        <w:rPr>
          <w:rFonts w:ascii="Arial" w:eastAsia="Times New Roman" w:hAnsi="Arial" w:cs="Arial"/>
          <w:szCs w:val="20"/>
        </w:rPr>
      </w:pPr>
      <w:r w:rsidRPr="009F1F75">
        <w:rPr>
          <w:rFonts w:ascii="Arial" w:eastAsia="Times New Roman" w:hAnsi="Arial" w:cs="Arial"/>
          <w:szCs w:val="20"/>
        </w:rPr>
        <w:t>Bio-waste recycling rate (C7) - The indicator is indirectly measured as the ratio of composted/</w:t>
      </w:r>
      <w:proofErr w:type="spellStart"/>
      <w:r w:rsidRPr="009F1F75">
        <w:rPr>
          <w:rFonts w:ascii="Arial" w:eastAsia="Times New Roman" w:hAnsi="Arial" w:cs="Arial"/>
          <w:szCs w:val="20"/>
        </w:rPr>
        <w:t>methanized</w:t>
      </w:r>
      <w:proofErr w:type="spellEnd"/>
      <w:r w:rsidRPr="009F1F75">
        <w:rPr>
          <w:rFonts w:ascii="Arial" w:eastAsia="Times New Roman" w:hAnsi="Arial" w:cs="Arial"/>
          <w:szCs w:val="20"/>
        </w:rPr>
        <w:t xml:space="preserve"> municipal waste (in mass units) to the total population (in number). The ratio is expressed in kg per capita (</w:t>
      </w:r>
      <w:r w:rsidRPr="009F1F75">
        <w:rPr>
          <w:rFonts w:ascii="Arial" w:eastAsia="Times New Roman" w:hAnsi="Arial" w:cs="Arial"/>
          <w:szCs w:val="20"/>
          <w:lang w:val="sr-Latn-RS"/>
        </w:rPr>
        <w:t>Eurostat, cei_pc040)</w:t>
      </w:r>
      <w:r w:rsidRPr="009F1F75">
        <w:rPr>
          <w:rFonts w:ascii="Arial" w:eastAsia="Times New Roman" w:hAnsi="Arial" w:cs="Arial"/>
          <w:szCs w:val="20"/>
        </w:rPr>
        <w:t>.</w:t>
      </w:r>
    </w:p>
    <w:p w14:paraId="5BFC9DE7" w14:textId="77777777" w:rsidR="009F1F75" w:rsidRPr="009F1F75" w:rsidRDefault="007906D0" w:rsidP="009F1F75">
      <w:pPr>
        <w:numPr>
          <w:ilvl w:val="0"/>
          <w:numId w:val="5"/>
        </w:numPr>
        <w:shd w:val="clear" w:color="auto" w:fill="FFFFFF"/>
        <w:spacing w:before="100" w:beforeAutospacing="1" w:after="100" w:afterAutospacing="1"/>
        <w:jc w:val="both"/>
        <w:rPr>
          <w:rFonts w:ascii="Arial" w:eastAsia="Times New Roman" w:hAnsi="Arial" w:cs="Arial"/>
          <w:szCs w:val="20"/>
        </w:rPr>
      </w:pPr>
      <w:r w:rsidRPr="009F1F75">
        <w:rPr>
          <w:rFonts w:ascii="Arial" w:eastAsia="Times New Roman" w:hAnsi="Arial" w:cs="Arial"/>
          <w:szCs w:val="20"/>
        </w:rPr>
        <w:t>Municipal waste recycling rate (C8) - The indicator measures the proportion of recycled municipal waste in the total municipal waste production (</w:t>
      </w:r>
      <w:r w:rsidRPr="009F1F75">
        <w:rPr>
          <w:rFonts w:ascii="Arial" w:eastAsia="Times New Roman" w:hAnsi="Arial" w:cs="Arial"/>
          <w:szCs w:val="20"/>
          <w:lang w:val="sr-Latn-RS"/>
        </w:rPr>
        <w:t>Eurostat, cei_wm011)</w:t>
      </w:r>
      <w:r w:rsidRPr="009F1F75">
        <w:rPr>
          <w:rFonts w:ascii="Arial" w:eastAsia="Times New Roman" w:hAnsi="Arial" w:cs="Arial"/>
          <w:szCs w:val="20"/>
        </w:rPr>
        <w:t>.</w:t>
      </w:r>
    </w:p>
    <w:p w14:paraId="05429704" w14:textId="77777777" w:rsidR="007906D0" w:rsidRPr="009F1F75" w:rsidRDefault="007906D0" w:rsidP="009F1F75">
      <w:pPr>
        <w:shd w:val="clear" w:color="auto" w:fill="FFFFFF"/>
        <w:spacing w:before="100" w:beforeAutospacing="1" w:after="100" w:afterAutospacing="1"/>
        <w:rPr>
          <w:rFonts w:ascii="Arial" w:eastAsia="Times New Roman" w:hAnsi="Arial" w:cs="Arial"/>
          <w:szCs w:val="20"/>
        </w:rPr>
      </w:pPr>
      <w:r w:rsidRPr="009F1F75">
        <w:rPr>
          <w:rFonts w:ascii="Arial" w:eastAsia="Times New Roman" w:hAnsi="Arial" w:cs="Arial"/>
          <w:szCs w:val="20"/>
        </w:rPr>
        <w:lastRenderedPageBreak/>
        <w:t>Figure 1. Average indicators values for the EU27 from the last available five-year period (2017-2021)</w:t>
      </w:r>
    </w:p>
    <w:p w14:paraId="66A81DBD" w14:textId="71FD84CF" w:rsidR="007906D0" w:rsidRPr="00471483" w:rsidRDefault="00CD06E1" w:rsidP="007906D0">
      <w:pPr>
        <w:shd w:val="clear" w:color="auto" w:fill="FFFFFF"/>
        <w:tabs>
          <w:tab w:val="right" w:pos="9964"/>
        </w:tabs>
        <w:spacing w:before="100" w:beforeAutospacing="1" w:after="100" w:afterAutospacing="1"/>
        <w:jc w:val="center"/>
        <w:rPr>
          <w:rFonts w:ascii="Arial" w:eastAsia="Times New Roman" w:hAnsi="Arial" w:cs="Arial"/>
          <w:noProof/>
          <w:sz w:val="18"/>
          <w:szCs w:val="24"/>
        </w:rPr>
      </w:pPr>
      <w:r w:rsidRPr="00471483">
        <w:rPr>
          <w:rFonts w:ascii="Arial" w:eastAsia="Times New Roman" w:hAnsi="Arial" w:cs="Arial"/>
          <w:noProof/>
          <w:sz w:val="24"/>
          <w:szCs w:val="24"/>
        </w:rPr>
        <w:drawing>
          <wp:inline distT="0" distB="0" distL="0" distR="0" wp14:anchorId="2777DFC6" wp14:editId="294776F1">
            <wp:extent cx="5264150" cy="31305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64150" cy="3130550"/>
                    </a:xfrm>
                    <a:prstGeom prst="rect">
                      <a:avLst/>
                    </a:prstGeom>
                    <a:noFill/>
                    <a:ln>
                      <a:noFill/>
                    </a:ln>
                  </pic:spPr>
                </pic:pic>
              </a:graphicData>
            </a:graphic>
          </wp:inline>
        </w:drawing>
      </w:r>
    </w:p>
    <w:p w14:paraId="5A89B8B8" w14:textId="77777777" w:rsidR="007906D0" w:rsidRPr="00471483" w:rsidRDefault="007906D0" w:rsidP="007906D0">
      <w:pPr>
        <w:shd w:val="clear" w:color="auto" w:fill="FFFFFF"/>
        <w:tabs>
          <w:tab w:val="right" w:pos="9964"/>
        </w:tabs>
        <w:spacing w:before="100" w:beforeAutospacing="1" w:after="100" w:afterAutospacing="1"/>
        <w:jc w:val="center"/>
        <w:rPr>
          <w:rFonts w:ascii="Arial" w:eastAsia="Times New Roman" w:hAnsi="Arial" w:cs="Arial"/>
          <w:noProof/>
          <w:sz w:val="24"/>
          <w:szCs w:val="24"/>
        </w:rPr>
      </w:pPr>
      <w:r w:rsidRPr="00471483">
        <w:rPr>
          <w:rFonts w:ascii="Arial" w:eastAsia="Times New Roman" w:hAnsi="Arial" w:cs="Arial"/>
          <w:noProof/>
          <w:sz w:val="18"/>
          <w:szCs w:val="24"/>
        </w:rPr>
        <w:t>Source: Authors’ calculation based on the Eurostat Database</w:t>
      </w:r>
    </w:p>
    <w:p w14:paraId="70805B9C" w14:textId="77777777" w:rsidR="007906D0" w:rsidRPr="009F1F75" w:rsidRDefault="007906D0" w:rsidP="007906D0">
      <w:pPr>
        <w:shd w:val="clear" w:color="auto" w:fill="FFFFFF"/>
        <w:spacing w:before="100" w:beforeAutospacing="1" w:after="100" w:afterAutospacing="1"/>
        <w:jc w:val="both"/>
        <w:rPr>
          <w:rFonts w:ascii="Arial" w:eastAsia="Times New Roman" w:hAnsi="Arial" w:cs="Arial"/>
          <w:szCs w:val="20"/>
        </w:rPr>
      </w:pPr>
      <w:r w:rsidRPr="009F1F75">
        <w:rPr>
          <w:rFonts w:ascii="Arial" w:eastAsia="Times New Roman" w:hAnsi="Arial" w:cs="Arial"/>
          <w:szCs w:val="20"/>
        </w:rPr>
        <w:t xml:space="preserve">The cluster analysis methodology used in the conducted research is based on a hierarchical agglomeration scheme that, after several iterative steps, shows the last smallest change in the value of the Euclidean distance square, which defines the number of clusters using the proximity matrix. The agglomerative approach first involves a "bottom-up" analysis and then combines objects and groups until each of them is in a group or cluster. The Ward method was applied to form the agglomeration scheme to identify groups of countries that are </w:t>
      </w:r>
      <w:proofErr w:type="gramStart"/>
      <w:r w:rsidRPr="009F1F75">
        <w:rPr>
          <w:rFonts w:ascii="Arial" w:eastAsia="Times New Roman" w:hAnsi="Arial" w:cs="Arial"/>
          <w:szCs w:val="20"/>
        </w:rPr>
        <w:t>similar to</w:t>
      </w:r>
      <w:proofErr w:type="gramEnd"/>
      <w:r w:rsidRPr="009F1F75">
        <w:rPr>
          <w:rFonts w:ascii="Arial" w:eastAsia="Times New Roman" w:hAnsi="Arial" w:cs="Arial"/>
          <w:szCs w:val="20"/>
        </w:rPr>
        <w:t xml:space="preserve"> each other but different from other groups of countries. Specifically, by using this approach, the last significant change in the coefficient of cluster combination determines the total number of clusters (Table 1).</w:t>
      </w:r>
    </w:p>
    <w:p w14:paraId="074757AD" w14:textId="77777777" w:rsidR="007906D0" w:rsidRPr="009F1F75" w:rsidRDefault="007906D0" w:rsidP="007906D0">
      <w:pPr>
        <w:shd w:val="clear" w:color="auto" w:fill="FFFFFF"/>
        <w:spacing w:before="100" w:beforeAutospacing="1" w:after="100" w:afterAutospacing="1"/>
        <w:rPr>
          <w:rFonts w:ascii="Arial" w:eastAsia="Times New Roman" w:hAnsi="Arial" w:cs="Arial"/>
          <w:szCs w:val="20"/>
        </w:rPr>
      </w:pPr>
      <w:r w:rsidRPr="009F1F75">
        <w:rPr>
          <w:rFonts w:ascii="Arial" w:eastAsia="Times New Roman" w:hAnsi="Arial" w:cs="Arial"/>
          <w:szCs w:val="20"/>
        </w:rPr>
        <w:t>Table 1. Agglomeration schedule coefficients of cluster combination</w:t>
      </w:r>
    </w:p>
    <w:tbl>
      <w:tblPr>
        <w:tblW w:w="9864" w:type="dxa"/>
        <w:tblBorders>
          <w:top w:val="single" w:sz="4" w:space="0" w:color="7F7F7F"/>
          <w:bottom w:val="single" w:sz="4" w:space="0" w:color="7F7F7F"/>
        </w:tblBorders>
        <w:tblLook w:val="04A0" w:firstRow="1" w:lastRow="0" w:firstColumn="1" w:lastColumn="0" w:noHBand="0" w:noVBand="1"/>
      </w:tblPr>
      <w:tblGrid>
        <w:gridCol w:w="1488"/>
        <w:gridCol w:w="1926"/>
        <w:gridCol w:w="1927"/>
        <w:gridCol w:w="2364"/>
        <w:gridCol w:w="2159"/>
      </w:tblGrid>
      <w:tr w:rsidR="00471483" w:rsidRPr="00471483" w14:paraId="21E37C79" w14:textId="77777777" w:rsidTr="00471483">
        <w:trPr>
          <w:trHeight w:val="251"/>
        </w:trPr>
        <w:tc>
          <w:tcPr>
            <w:tcW w:w="1488" w:type="dxa"/>
            <w:vMerge w:val="restart"/>
            <w:tcBorders>
              <w:bottom w:val="single" w:sz="4" w:space="0" w:color="7F7F7F"/>
            </w:tcBorders>
            <w:shd w:val="clear" w:color="auto" w:fill="auto"/>
            <w:vAlign w:val="center"/>
            <w:hideMark/>
          </w:tcPr>
          <w:p w14:paraId="56FB3FD1" w14:textId="77777777" w:rsidR="007906D0" w:rsidRPr="00471483" w:rsidRDefault="007906D0" w:rsidP="00471483">
            <w:pPr>
              <w:ind w:left="60" w:right="60"/>
              <w:jc w:val="center"/>
              <w:textAlignment w:val="baseline"/>
              <w:rPr>
                <w:rFonts w:ascii="Arial" w:eastAsia="Times New Roman" w:hAnsi="Arial" w:cs="Arial"/>
                <w:b/>
                <w:bCs/>
                <w:kern w:val="2"/>
                <w:sz w:val="18"/>
                <w:szCs w:val="18"/>
              </w:rPr>
            </w:pPr>
            <w:r w:rsidRPr="00471483">
              <w:rPr>
                <w:rFonts w:ascii="Arial" w:eastAsia="Times New Roman" w:hAnsi="Arial" w:cs="Arial"/>
                <w:b/>
                <w:bCs/>
                <w:kern w:val="2"/>
                <w:sz w:val="18"/>
                <w:szCs w:val="18"/>
              </w:rPr>
              <w:t>Stage</w:t>
            </w:r>
          </w:p>
        </w:tc>
        <w:tc>
          <w:tcPr>
            <w:tcW w:w="3853" w:type="dxa"/>
            <w:gridSpan w:val="2"/>
            <w:tcBorders>
              <w:bottom w:val="single" w:sz="4" w:space="0" w:color="7F7F7F"/>
            </w:tcBorders>
            <w:shd w:val="clear" w:color="auto" w:fill="auto"/>
            <w:vAlign w:val="center"/>
            <w:hideMark/>
          </w:tcPr>
          <w:p w14:paraId="7FCC2910" w14:textId="77777777" w:rsidR="007906D0" w:rsidRPr="00471483" w:rsidRDefault="007906D0" w:rsidP="00471483">
            <w:pPr>
              <w:ind w:left="60" w:right="60"/>
              <w:jc w:val="center"/>
              <w:textAlignment w:val="baseline"/>
              <w:rPr>
                <w:rFonts w:ascii="Arial" w:eastAsia="Times New Roman" w:hAnsi="Arial" w:cs="Arial"/>
                <w:b/>
                <w:bCs/>
                <w:kern w:val="2"/>
                <w:sz w:val="18"/>
                <w:szCs w:val="18"/>
              </w:rPr>
            </w:pPr>
            <w:r w:rsidRPr="00471483">
              <w:rPr>
                <w:rFonts w:ascii="Arial" w:eastAsia="Times New Roman" w:hAnsi="Arial" w:cs="Arial"/>
                <w:b/>
                <w:bCs/>
                <w:kern w:val="2"/>
                <w:sz w:val="18"/>
                <w:szCs w:val="18"/>
              </w:rPr>
              <w:t>Cluster Combined</w:t>
            </w:r>
          </w:p>
        </w:tc>
        <w:tc>
          <w:tcPr>
            <w:tcW w:w="2364" w:type="dxa"/>
            <w:vMerge w:val="restart"/>
            <w:tcBorders>
              <w:bottom w:val="single" w:sz="4" w:space="0" w:color="7F7F7F"/>
            </w:tcBorders>
            <w:shd w:val="clear" w:color="auto" w:fill="auto"/>
            <w:vAlign w:val="center"/>
            <w:hideMark/>
          </w:tcPr>
          <w:p w14:paraId="5650397B" w14:textId="77777777" w:rsidR="007906D0" w:rsidRPr="00471483" w:rsidRDefault="007906D0" w:rsidP="00471483">
            <w:pPr>
              <w:ind w:left="60" w:right="60"/>
              <w:jc w:val="center"/>
              <w:textAlignment w:val="baseline"/>
              <w:rPr>
                <w:rFonts w:ascii="Arial" w:eastAsia="Times New Roman" w:hAnsi="Arial" w:cs="Arial"/>
                <w:b/>
                <w:bCs/>
                <w:kern w:val="2"/>
                <w:sz w:val="18"/>
                <w:szCs w:val="18"/>
              </w:rPr>
            </w:pPr>
            <w:r w:rsidRPr="00471483">
              <w:rPr>
                <w:rFonts w:ascii="Arial" w:eastAsia="Times New Roman" w:hAnsi="Arial" w:cs="Arial"/>
                <w:b/>
                <w:bCs/>
                <w:kern w:val="2"/>
                <w:sz w:val="18"/>
                <w:szCs w:val="18"/>
              </w:rPr>
              <w:t>Coefficients</w:t>
            </w:r>
          </w:p>
        </w:tc>
        <w:tc>
          <w:tcPr>
            <w:tcW w:w="2159" w:type="dxa"/>
            <w:vMerge w:val="restart"/>
            <w:tcBorders>
              <w:bottom w:val="single" w:sz="4" w:space="0" w:color="7F7F7F"/>
            </w:tcBorders>
            <w:shd w:val="clear" w:color="auto" w:fill="auto"/>
            <w:vAlign w:val="center"/>
            <w:hideMark/>
          </w:tcPr>
          <w:p w14:paraId="5EBA0876" w14:textId="77777777" w:rsidR="007906D0" w:rsidRPr="00471483" w:rsidRDefault="007906D0" w:rsidP="00471483">
            <w:pPr>
              <w:ind w:left="60" w:right="60"/>
              <w:jc w:val="center"/>
              <w:textAlignment w:val="baseline"/>
              <w:rPr>
                <w:rFonts w:ascii="Arial" w:eastAsia="Times New Roman" w:hAnsi="Arial" w:cs="Arial"/>
                <w:b/>
                <w:bCs/>
                <w:kern w:val="2"/>
                <w:sz w:val="18"/>
                <w:szCs w:val="18"/>
              </w:rPr>
            </w:pPr>
            <w:r w:rsidRPr="00471483">
              <w:rPr>
                <w:rFonts w:ascii="Arial" w:eastAsia="Times New Roman" w:hAnsi="Arial" w:cs="Arial"/>
                <w:b/>
                <w:bCs/>
                <w:kern w:val="2"/>
                <w:sz w:val="18"/>
                <w:szCs w:val="18"/>
              </w:rPr>
              <w:t>Next Stage</w:t>
            </w:r>
          </w:p>
        </w:tc>
      </w:tr>
      <w:tr w:rsidR="00471483" w:rsidRPr="00471483" w14:paraId="0C5EF22D" w14:textId="77777777" w:rsidTr="00471483">
        <w:trPr>
          <w:trHeight w:val="275"/>
        </w:trPr>
        <w:tc>
          <w:tcPr>
            <w:tcW w:w="0" w:type="auto"/>
            <w:vMerge/>
            <w:tcBorders>
              <w:top w:val="single" w:sz="4" w:space="0" w:color="7F7F7F"/>
              <w:bottom w:val="single" w:sz="4" w:space="0" w:color="7F7F7F"/>
            </w:tcBorders>
            <w:shd w:val="clear" w:color="auto" w:fill="auto"/>
            <w:vAlign w:val="center"/>
            <w:hideMark/>
          </w:tcPr>
          <w:p w14:paraId="2F2AED1F" w14:textId="77777777" w:rsidR="007906D0" w:rsidRPr="00471483" w:rsidRDefault="007906D0" w:rsidP="00471483">
            <w:pPr>
              <w:jc w:val="center"/>
              <w:rPr>
                <w:rFonts w:ascii="Arial" w:eastAsia="Times New Roman" w:hAnsi="Arial" w:cs="Arial"/>
                <w:b/>
                <w:bCs/>
                <w:kern w:val="2"/>
                <w:sz w:val="18"/>
                <w:szCs w:val="18"/>
              </w:rPr>
            </w:pPr>
          </w:p>
        </w:tc>
        <w:tc>
          <w:tcPr>
            <w:tcW w:w="1926" w:type="dxa"/>
            <w:tcBorders>
              <w:top w:val="single" w:sz="4" w:space="0" w:color="7F7F7F"/>
              <w:bottom w:val="single" w:sz="4" w:space="0" w:color="7F7F7F"/>
            </w:tcBorders>
            <w:shd w:val="clear" w:color="auto" w:fill="auto"/>
            <w:vAlign w:val="center"/>
            <w:hideMark/>
          </w:tcPr>
          <w:p w14:paraId="1CD79CD3"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Cluster 1</w:t>
            </w:r>
          </w:p>
        </w:tc>
        <w:tc>
          <w:tcPr>
            <w:tcW w:w="1926" w:type="dxa"/>
            <w:tcBorders>
              <w:top w:val="single" w:sz="4" w:space="0" w:color="7F7F7F"/>
              <w:bottom w:val="single" w:sz="4" w:space="0" w:color="7F7F7F"/>
            </w:tcBorders>
            <w:shd w:val="clear" w:color="auto" w:fill="auto"/>
            <w:vAlign w:val="center"/>
            <w:hideMark/>
          </w:tcPr>
          <w:p w14:paraId="16A806F9"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Cluster 2</w:t>
            </w:r>
          </w:p>
        </w:tc>
        <w:tc>
          <w:tcPr>
            <w:tcW w:w="0" w:type="auto"/>
            <w:vMerge/>
            <w:tcBorders>
              <w:top w:val="single" w:sz="4" w:space="0" w:color="7F7F7F"/>
              <w:bottom w:val="single" w:sz="4" w:space="0" w:color="7F7F7F"/>
            </w:tcBorders>
            <w:shd w:val="clear" w:color="auto" w:fill="auto"/>
            <w:vAlign w:val="center"/>
            <w:hideMark/>
          </w:tcPr>
          <w:p w14:paraId="47203A66" w14:textId="77777777" w:rsidR="007906D0" w:rsidRPr="00471483" w:rsidRDefault="007906D0" w:rsidP="00471483">
            <w:pPr>
              <w:jc w:val="center"/>
              <w:rPr>
                <w:rFonts w:ascii="Arial" w:eastAsia="Times New Roman" w:hAnsi="Arial" w:cs="Arial"/>
                <w:kern w:val="2"/>
                <w:sz w:val="18"/>
                <w:szCs w:val="18"/>
              </w:rPr>
            </w:pPr>
          </w:p>
        </w:tc>
        <w:tc>
          <w:tcPr>
            <w:tcW w:w="0" w:type="auto"/>
            <w:vMerge/>
            <w:tcBorders>
              <w:top w:val="single" w:sz="4" w:space="0" w:color="7F7F7F"/>
              <w:bottom w:val="single" w:sz="4" w:space="0" w:color="7F7F7F"/>
            </w:tcBorders>
            <w:shd w:val="clear" w:color="auto" w:fill="auto"/>
            <w:vAlign w:val="center"/>
            <w:hideMark/>
          </w:tcPr>
          <w:p w14:paraId="3A6D40E2" w14:textId="77777777" w:rsidR="007906D0" w:rsidRPr="00471483" w:rsidRDefault="007906D0" w:rsidP="00471483">
            <w:pPr>
              <w:jc w:val="center"/>
              <w:rPr>
                <w:rFonts w:ascii="Arial" w:eastAsia="Times New Roman" w:hAnsi="Arial" w:cs="Arial"/>
                <w:kern w:val="2"/>
                <w:sz w:val="18"/>
                <w:szCs w:val="18"/>
              </w:rPr>
            </w:pPr>
          </w:p>
        </w:tc>
      </w:tr>
      <w:tr w:rsidR="00471483" w:rsidRPr="00471483" w14:paraId="618A02B4" w14:textId="77777777" w:rsidTr="00471483">
        <w:trPr>
          <w:trHeight w:val="251"/>
        </w:trPr>
        <w:tc>
          <w:tcPr>
            <w:tcW w:w="1488" w:type="dxa"/>
            <w:shd w:val="clear" w:color="auto" w:fill="auto"/>
            <w:vAlign w:val="center"/>
            <w:hideMark/>
          </w:tcPr>
          <w:p w14:paraId="317D542F" w14:textId="77777777" w:rsidR="007906D0" w:rsidRPr="00471483" w:rsidRDefault="007906D0" w:rsidP="00471483">
            <w:pPr>
              <w:ind w:left="60" w:right="60"/>
              <w:jc w:val="center"/>
              <w:textAlignment w:val="baseline"/>
              <w:rPr>
                <w:rFonts w:ascii="Arial" w:eastAsia="Times New Roman" w:hAnsi="Arial" w:cs="Arial"/>
                <w:b/>
                <w:bCs/>
                <w:kern w:val="2"/>
                <w:sz w:val="18"/>
                <w:szCs w:val="18"/>
              </w:rPr>
            </w:pPr>
            <w:r w:rsidRPr="00471483">
              <w:rPr>
                <w:rFonts w:ascii="Arial" w:eastAsia="Times New Roman" w:hAnsi="Arial" w:cs="Arial"/>
                <w:b/>
                <w:bCs/>
                <w:kern w:val="2"/>
                <w:sz w:val="18"/>
                <w:szCs w:val="18"/>
              </w:rPr>
              <w:t>1</w:t>
            </w:r>
          </w:p>
        </w:tc>
        <w:tc>
          <w:tcPr>
            <w:tcW w:w="1926" w:type="dxa"/>
            <w:shd w:val="clear" w:color="auto" w:fill="auto"/>
            <w:vAlign w:val="center"/>
            <w:hideMark/>
          </w:tcPr>
          <w:p w14:paraId="30134C84"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10</w:t>
            </w:r>
          </w:p>
        </w:tc>
        <w:tc>
          <w:tcPr>
            <w:tcW w:w="1926" w:type="dxa"/>
            <w:shd w:val="clear" w:color="auto" w:fill="auto"/>
            <w:vAlign w:val="center"/>
            <w:hideMark/>
          </w:tcPr>
          <w:p w14:paraId="6F6B3BB1"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26</w:t>
            </w:r>
          </w:p>
        </w:tc>
        <w:tc>
          <w:tcPr>
            <w:tcW w:w="2364" w:type="dxa"/>
            <w:shd w:val="clear" w:color="auto" w:fill="auto"/>
            <w:vAlign w:val="center"/>
            <w:hideMark/>
          </w:tcPr>
          <w:p w14:paraId="7FDDEA09"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.012</w:t>
            </w:r>
          </w:p>
        </w:tc>
        <w:tc>
          <w:tcPr>
            <w:tcW w:w="2159" w:type="dxa"/>
            <w:shd w:val="clear" w:color="auto" w:fill="auto"/>
            <w:vAlign w:val="center"/>
            <w:hideMark/>
          </w:tcPr>
          <w:p w14:paraId="7F685B78"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4</w:t>
            </w:r>
          </w:p>
        </w:tc>
      </w:tr>
      <w:tr w:rsidR="00471483" w:rsidRPr="00471483" w14:paraId="62B50864" w14:textId="77777777" w:rsidTr="00471483">
        <w:trPr>
          <w:trHeight w:val="251"/>
        </w:trPr>
        <w:tc>
          <w:tcPr>
            <w:tcW w:w="1488" w:type="dxa"/>
            <w:tcBorders>
              <w:top w:val="single" w:sz="4" w:space="0" w:color="7F7F7F"/>
              <w:bottom w:val="single" w:sz="4" w:space="0" w:color="7F7F7F"/>
            </w:tcBorders>
            <w:shd w:val="clear" w:color="auto" w:fill="auto"/>
            <w:vAlign w:val="center"/>
            <w:hideMark/>
          </w:tcPr>
          <w:p w14:paraId="069693D4" w14:textId="77777777" w:rsidR="007906D0" w:rsidRPr="00471483" w:rsidRDefault="007906D0" w:rsidP="00471483">
            <w:pPr>
              <w:ind w:left="60" w:right="60"/>
              <w:jc w:val="center"/>
              <w:textAlignment w:val="baseline"/>
              <w:rPr>
                <w:rFonts w:ascii="Arial" w:eastAsia="Times New Roman" w:hAnsi="Arial" w:cs="Arial"/>
                <w:b/>
                <w:bCs/>
                <w:kern w:val="2"/>
                <w:sz w:val="18"/>
                <w:szCs w:val="18"/>
              </w:rPr>
            </w:pPr>
            <w:r w:rsidRPr="00471483">
              <w:rPr>
                <w:rFonts w:ascii="Arial" w:eastAsia="Times New Roman" w:hAnsi="Arial" w:cs="Arial"/>
                <w:b/>
                <w:bCs/>
                <w:kern w:val="2"/>
                <w:sz w:val="18"/>
                <w:szCs w:val="18"/>
              </w:rPr>
              <w:t>2</w:t>
            </w:r>
          </w:p>
        </w:tc>
        <w:tc>
          <w:tcPr>
            <w:tcW w:w="1926" w:type="dxa"/>
            <w:tcBorders>
              <w:top w:val="single" w:sz="4" w:space="0" w:color="7F7F7F"/>
              <w:bottom w:val="single" w:sz="4" w:space="0" w:color="7F7F7F"/>
            </w:tcBorders>
            <w:shd w:val="clear" w:color="auto" w:fill="auto"/>
            <w:vAlign w:val="center"/>
            <w:hideMark/>
          </w:tcPr>
          <w:p w14:paraId="59B1D6B9"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11</w:t>
            </w:r>
          </w:p>
        </w:tc>
        <w:tc>
          <w:tcPr>
            <w:tcW w:w="1926" w:type="dxa"/>
            <w:tcBorders>
              <w:top w:val="single" w:sz="4" w:space="0" w:color="7F7F7F"/>
              <w:bottom w:val="single" w:sz="4" w:space="0" w:color="7F7F7F"/>
            </w:tcBorders>
            <w:shd w:val="clear" w:color="auto" w:fill="auto"/>
            <w:vAlign w:val="center"/>
            <w:hideMark/>
          </w:tcPr>
          <w:p w14:paraId="16876594"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27</w:t>
            </w:r>
          </w:p>
        </w:tc>
        <w:tc>
          <w:tcPr>
            <w:tcW w:w="2364" w:type="dxa"/>
            <w:tcBorders>
              <w:top w:val="single" w:sz="4" w:space="0" w:color="7F7F7F"/>
              <w:bottom w:val="single" w:sz="4" w:space="0" w:color="7F7F7F"/>
            </w:tcBorders>
            <w:shd w:val="clear" w:color="auto" w:fill="auto"/>
            <w:vAlign w:val="center"/>
            <w:hideMark/>
          </w:tcPr>
          <w:p w14:paraId="6350A798"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.037</w:t>
            </w:r>
          </w:p>
        </w:tc>
        <w:tc>
          <w:tcPr>
            <w:tcW w:w="2159" w:type="dxa"/>
            <w:tcBorders>
              <w:top w:val="single" w:sz="4" w:space="0" w:color="7F7F7F"/>
              <w:bottom w:val="single" w:sz="4" w:space="0" w:color="7F7F7F"/>
            </w:tcBorders>
            <w:shd w:val="clear" w:color="auto" w:fill="auto"/>
            <w:vAlign w:val="center"/>
            <w:hideMark/>
          </w:tcPr>
          <w:p w14:paraId="283A6157"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5</w:t>
            </w:r>
          </w:p>
        </w:tc>
      </w:tr>
      <w:tr w:rsidR="00471483" w:rsidRPr="00471483" w14:paraId="5814E1CC" w14:textId="77777777" w:rsidTr="00471483">
        <w:trPr>
          <w:trHeight w:val="251"/>
        </w:trPr>
        <w:tc>
          <w:tcPr>
            <w:tcW w:w="1488" w:type="dxa"/>
            <w:shd w:val="clear" w:color="auto" w:fill="auto"/>
            <w:vAlign w:val="center"/>
            <w:hideMark/>
          </w:tcPr>
          <w:p w14:paraId="560FD099" w14:textId="77777777" w:rsidR="007906D0" w:rsidRPr="00471483" w:rsidRDefault="007906D0" w:rsidP="00471483">
            <w:pPr>
              <w:ind w:left="60" w:right="60"/>
              <w:jc w:val="center"/>
              <w:textAlignment w:val="baseline"/>
              <w:rPr>
                <w:rFonts w:ascii="Arial" w:eastAsia="Times New Roman" w:hAnsi="Arial" w:cs="Arial"/>
                <w:b/>
                <w:bCs/>
                <w:kern w:val="2"/>
                <w:sz w:val="18"/>
                <w:szCs w:val="18"/>
              </w:rPr>
            </w:pPr>
            <w:r w:rsidRPr="00471483">
              <w:rPr>
                <w:rFonts w:ascii="Arial" w:eastAsia="Times New Roman" w:hAnsi="Arial" w:cs="Arial"/>
                <w:b/>
                <w:bCs/>
                <w:kern w:val="2"/>
                <w:sz w:val="18"/>
                <w:szCs w:val="18"/>
              </w:rPr>
              <w:t>3</w:t>
            </w:r>
          </w:p>
        </w:tc>
        <w:tc>
          <w:tcPr>
            <w:tcW w:w="1926" w:type="dxa"/>
            <w:shd w:val="clear" w:color="auto" w:fill="auto"/>
            <w:vAlign w:val="center"/>
            <w:hideMark/>
          </w:tcPr>
          <w:p w14:paraId="37C2697B"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13</w:t>
            </w:r>
          </w:p>
        </w:tc>
        <w:tc>
          <w:tcPr>
            <w:tcW w:w="1926" w:type="dxa"/>
            <w:shd w:val="clear" w:color="auto" w:fill="auto"/>
            <w:vAlign w:val="center"/>
            <w:hideMark/>
          </w:tcPr>
          <w:p w14:paraId="38555CBD"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18</w:t>
            </w:r>
          </w:p>
        </w:tc>
        <w:tc>
          <w:tcPr>
            <w:tcW w:w="2364" w:type="dxa"/>
            <w:shd w:val="clear" w:color="auto" w:fill="auto"/>
            <w:vAlign w:val="center"/>
            <w:hideMark/>
          </w:tcPr>
          <w:p w14:paraId="3DD39C52"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.075</w:t>
            </w:r>
          </w:p>
        </w:tc>
        <w:tc>
          <w:tcPr>
            <w:tcW w:w="2159" w:type="dxa"/>
            <w:shd w:val="clear" w:color="auto" w:fill="auto"/>
            <w:vAlign w:val="center"/>
            <w:hideMark/>
          </w:tcPr>
          <w:p w14:paraId="7A20D193"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10</w:t>
            </w:r>
          </w:p>
        </w:tc>
      </w:tr>
      <w:tr w:rsidR="00471483" w:rsidRPr="00471483" w14:paraId="37CB749D" w14:textId="77777777" w:rsidTr="00471483">
        <w:trPr>
          <w:trHeight w:val="263"/>
        </w:trPr>
        <w:tc>
          <w:tcPr>
            <w:tcW w:w="1488" w:type="dxa"/>
            <w:tcBorders>
              <w:top w:val="single" w:sz="4" w:space="0" w:color="7F7F7F"/>
              <w:bottom w:val="single" w:sz="4" w:space="0" w:color="7F7F7F"/>
            </w:tcBorders>
            <w:shd w:val="clear" w:color="auto" w:fill="auto"/>
            <w:vAlign w:val="center"/>
            <w:hideMark/>
          </w:tcPr>
          <w:p w14:paraId="34273071" w14:textId="77777777" w:rsidR="007906D0" w:rsidRPr="00471483" w:rsidRDefault="007906D0" w:rsidP="00471483">
            <w:pPr>
              <w:ind w:left="60" w:right="60"/>
              <w:jc w:val="center"/>
              <w:textAlignment w:val="baseline"/>
              <w:rPr>
                <w:rFonts w:ascii="Arial" w:eastAsia="Times New Roman" w:hAnsi="Arial" w:cs="Arial"/>
                <w:b/>
                <w:bCs/>
                <w:kern w:val="2"/>
                <w:sz w:val="18"/>
                <w:szCs w:val="18"/>
              </w:rPr>
            </w:pPr>
            <w:r w:rsidRPr="00471483">
              <w:rPr>
                <w:rFonts w:ascii="Arial" w:eastAsia="Times New Roman" w:hAnsi="Arial" w:cs="Arial"/>
                <w:b/>
                <w:bCs/>
                <w:kern w:val="2"/>
                <w:sz w:val="18"/>
                <w:szCs w:val="18"/>
              </w:rPr>
              <w:t>4</w:t>
            </w:r>
          </w:p>
        </w:tc>
        <w:tc>
          <w:tcPr>
            <w:tcW w:w="1926" w:type="dxa"/>
            <w:tcBorders>
              <w:top w:val="single" w:sz="4" w:space="0" w:color="7F7F7F"/>
              <w:bottom w:val="single" w:sz="4" w:space="0" w:color="7F7F7F"/>
            </w:tcBorders>
            <w:shd w:val="clear" w:color="auto" w:fill="auto"/>
            <w:vAlign w:val="center"/>
            <w:hideMark/>
          </w:tcPr>
          <w:p w14:paraId="5E7A3704"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7</w:t>
            </w:r>
          </w:p>
        </w:tc>
        <w:tc>
          <w:tcPr>
            <w:tcW w:w="1926" w:type="dxa"/>
            <w:tcBorders>
              <w:top w:val="single" w:sz="4" w:space="0" w:color="7F7F7F"/>
              <w:bottom w:val="single" w:sz="4" w:space="0" w:color="7F7F7F"/>
            </w:tcBorders>
            <w:shd w:val="clear" w:color="auto" w:fill="auto"/>
            <w:vAlign w:val="center"/>
            <w:hideMark/>
          </w:tcPr>
          <w:p w14:paraId="119D77BC"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10</w:t>
            </w:r>
          </w:p>
        </w:tc>
        <w:tc>
          <w:tcPr>
            <w:tcW w:w="2364" w:type="dxa"/>
            <w:tcBorders>
              <w:top w:val="single" w:sz="4" w:space="0" w:color="7F7F7F"/>
              <w:bottom w:val="single" w:sz="4" w:space="0" w:color="7F7F7F"/>
            </w:tcBorders>
            <w:shd w:val="clear" w:color="auto" w:fill="auto"/>
            <w:vAlign w:val="center"/>
            <w:hideMark/>
          </w:tcPr>
          <w:p w14:paraId="6107349F"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.120</w:t>
            </w:r>
          </w:p>
        </w:tc>
        <w:tc>
          <w:tcPr>
            <w:tcW w:w="2159" w:type="dxa"/>
            <w:tcBorders>
              <w:top w:val="single" w:sz="4" w:space="0" w:color="7F7F7F"/>
              <w:bottom w:val="single" w:sz="4" w:space="0" w:color="7F7F7F"/>
            </w:tcBorders>
            <w:shd w:val="clear" w:color="auto" w:fill="auto"/>
            <w:vAlign w:val="center"/>
            <w:hideMark/>
          </w:tcPr>
          <w:p w14:paraId="6C7AA2FB"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6</w:t>
            </w:r>
          </w:p>
        </w:tc>
      </w:tr>
      <w:tr w:rsidR="00471483" w:rsidRPr="00471483" w14:paraId="0F344AE8" w14:textId="77777777" w:rsidTr="00471483">
        <w:trPr>
          <w:trHeight w:val="251"/>
        </w:trPr>
        <w:tc>
          <w:tcPr>
            <w:tcW w:w="1488" w:type="dxa"/>
            <w:shd w:val="clear" w:color="auto" w:fill="auto"/>
            <w:vAlign w:val="center"/>
            <w:hideMark/>
          </w:tcPr>
          <w:p w14:paraId="13458793" w14:textId="77777777" w:rsidR="007906D0" w:rsidRPr="00471483" w:rsidRDefault="007906D0" w:rsidP="00471483">
            <w:pPr>
              <w:ind w:left="60" w:right="60"/>
              <w:jc w:val="center"/>
              <w:textAlignment w:val="baseline"/>
              <w:rPr>
                <w:rFonts w:ascii="Arial" w:eastAsia="Times New Roman" w:hAnsi="Arial" w:cs="Arial"/>
                <w:b/>
                <w:bCs/>
                <w:kern w:val="2"/>
                <w:sz w:val="18"/>
                <w:szCs w:val="18"/>
              </w:rPr>
            </w:pPr>
            <w:r w:rsidRPr="00471483">
              <w:rPr>
                <w:rFonts w:ascii="Arial" w:eastAsia="Times New Roman" w:hAnsi="Arial" w:cs="Arial"/>
                <w:b/>
                <w:bCs/>
                <w:kern w:val="2"/>
                <w:sz w:val="18"/>
                <w:szCs w:val="18"/>
              </w:rPr>
              <w:t>5</w:t>
            </w:r>
          </w:p>
        </w:tc>
        <w:tc>
          <w:tcPr>
            <w:tcW w:w="1926" w:type="dxa"/>
            <w:shd w:val="clear" w:color="auto" w:fill="auto"/>
            <w:vAlign w:val="center"/>
            <w:hideMark/>
          </w:tcPr>
          <w:p w14:paraId="6D6ED263"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9</w:t>
            </w:r>
          </w:p>
        </w:tc>
        <w:tc>
          <w:tcPr>
            <w:tcW w:w="1926" w:type="dxa"/>
            <w:shd w:val="clear" w:color="auto" w:fill="auto"/>
            <w:vAlign w:val="center"/>
            <w:hideMark/>
          </w:tcPr>
          <w:p w14:paraId="4F8A24D0"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11</w:t>
            </w:r>
          </w:p>
        </w:tc>
        <w:tc>
          <w:tcPr>
            <w:tcW w:w="2364" w:type="dxa"/>
            <w:shd w:val="clear" w:color="auto" w:fill="auto"/>
            <w:vAlign w:val="center"/>
            <w:hideMark/>
          </w:tcPr>
          <w:p w14:paraId="01B31B5B"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.179</w:t>
            </w:r>
          </w:p>
        </w:tc>
        <w:tc>
          <w:tcPr>
            <w:tcW w:w="2159" w:type="dxa"/>
            <w:shd w:val="clear" w:color="auto" w:fill="auto"/>
            <w:vAlign w:val="center"/>
            <w:hideMark/>
          </w:tcPr>
          <w:p w14:paraId="4F2D12BA"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6</w:t>
            </w:r>
          </w:p>
        </w:tc>
      </w:tr>
      <w:tr w:rsidR="00471483" w:rsidRPr="00471483" w14:paraId="3702F8F7" w14:textId="77777777" w:rsidTr="00471483">
        <w:trPr>
          <w:trHeight w:val="251"/>
        </w:trPr>
        <w:tc>
          <w:tcPr>
            <w:tcW w:w="1488" w:type="dxa"/>
            <w:tcBorders>
              <w:top w:val="single" w:sz="4" w:space="0" w:color="7F7F7F"/>
              <w:bottom w:val="single" w:sz="4" w:space="0" w:color="7F7F7F"/>
            </w:tcBorders>
            <w:shd w:val="clear" w:color="auto" w:fill="auto"/>
            <w:vAlign w:val="center"/>
            <w:hideMark/>
          </w:tcPr>
          <w:p w14:paraId="642A6EE3" w14:textId="77777777" w:rsidR="007906D0" w:rsidRPr="00471483" w:rsidRDefault="007906D0" w:rsidP="00471483">
            <w:pPr>
              <w:ind w:left="60" w:right="60"/>
              <w:jc w:val="center"/>
              <w:textAlignment w:val="baseline"/>
              <w:rPr>
                <w:rFonts w:ascii="Arial" w:eastAsia="Times New Roman" w:hAnsi="Arial" w:cs="Arial"/>
                <w:b/>
                <w:bCs/>
                <w:kern w:val="2"/>
                <w:sz w:val="18"/>
                <w:szCs w:val="18"/>
              </w:rPr>
            </w:pPr>
            <w:r w:rsidRPr="00471483">
              <w:rPr>
                <w:rFonts w:ascii="Arial" w:eastAsia="Times New Roman" w:hAnsi="Arial" w:cs="Arial"/>
                <w:b/>
                <w:bCs/>
                <w:kern w:val="2"/>
                <w:sz w:val="18"/>
                <w:szCs w:val="18"/>
              </w:rPr>
              <w:t>6</w:t>
            </w:r>
          </w:p>
        </w:tc>
        <w:tc>
          <w:tcPr>
            <w:tcW w:w="1926" w:type="dxa"/>
            <w:tcBorders>
              <w:top w:val="single" w:sz="4" w:space="0" w:color="7F7F7F"/>
              <w:bottom w:val="single" w:sz="4" w:space="0" w:color="7F7F7F"/>
            </w:tcBorders>
            <w:shd w:val="clear" w:color="auto" w:fill="auto"/>
            <w:vAlign w:val="center"/>
            <w:hideMark/>
          </w:tcPr>
          <w:p w14:paraId="4AECD4AE"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7</w:t>
            </w:r>
          </w:p>
        </w:tc>
        <w:tc>
          <w:tcPr>
            <w:tcW w:w="1926" w:type="dxa"/>
            <w:tcBorders>
              <w:top w:val="single" w:sz="4" w:space="0" w:color="7F7F7F"/>
              <w:bottom w:val="single" w:sz="4" w:space="0" w:color="7F7F7F"/>
            </w:tcBorders>
            <w:shd w:val="clear" w:color="auto" w:fill="auto"/>
            <w:vAlign w:val="center"/>
            <w:hideMark/>
          </w:tcPr>
          <w:p w14:paraId="7AA7E55C"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9</w:t>
            </w:r>
          </w:p>
        </w:tc>
        <w:tc>
          <w:tcPr>
            <w:tcW w:w="2364" w:type="dxa"/>
            <w:tcBorders>
              <w:top w:val="single" w:sz="4" w:space="0" w:color="7F7F7F"/>
              <w:bottom w:val="single" w:sz="4" w:space="0" w:color="7F7F7F"/>
            </w:tcBorders>
            <w:shd w:val="clear" w:color="auto" w:fill="auto"/>
            <w:vAlign w:val="center"/>
            <w:hideMark/>
          </w:tcPr>
          <w:p w14:paraId="1616E592"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.245</w:t>
            </w:r>
          </w:p>
        </w:tc>
        <w:tc>
          <w:tcPr>
            <w:tcW w:w="2159" w:type="dxa"/>
            <w:tcBorders>
              <w:top w:val="single" w:sz="4" w:space="0" w:color="7F7F7F"/>
              <w:bottom w:val="single" w:sz="4" w:space="0" w:color="7F7F7F"/>
            </w:tcBorders>
            <w:shd w:val="clear" w:color="auto" w:fill="auto"/>
            <w:vAlign w:val="center"/>
            <w:hideMark/>
          </w:tcPr>
          <w:p w14:paraId="0771E24B"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10</w:t>
            </w:r>
          </w:p>
        </w:tc>
      </w:tr>
      <w:tr w:rsidR="00471483" w:rsidRPr="00471483" w14:paraId="0FBC7FB5" w14:textId="77777777" w:rsidTr="00471483">
        <w:trPr>
          <w:trHeight w:val="251"/>
        </w:trPr>
        <w:tc>
          <w:tcPr>
            <w:tcW w:w="1488" w:type="dxa"/>
            <w:shd w:val="clear" w:color="auto" w:fill="auto"/>
            <w:vAlign w:val="center"/>
            <w:hideMark/>
          </w:tcPr>
          <w:p w14:paraId="0815EB88" w14:textId="77777777" w:rsidR="007906D0" w:rsidRPr="00471483" w:rsidRDefault="007906D0" w:rsidP="00471483">
            <w:pPr>
              <w:ind w:left="60" w:right="60"/>
              <w:jc w:val="center"/>
              <w:textAlignment w:val="baseline"/>
              <w:rPr>
                <w:rFonts w:ascii="Arial" w:eastAsia="Times New Roman" w:hAnsi="Arial" w:cs="Arial"/>
                <w:b/>
                <w:bCs/>
                <w:kern w:val="2"/>
                <w:sz w:val="18"/>
                <w:szCs w:val="18"/>
              </w:rPr>
            </w:pPr>
            <w:r w:rsidRPr="00471483">
              <w:rPr>
                <w:rFonts w:ascii="Arial" w:eastAsia="Times New Roman" w:hAnsi="Arial" w:cs="Arial"/>
                <w:b/>
                <w:bCs/>
                <w:kern w:val="2"/>
                <w:sz w:val="18"/>
                <w:szCs w:val="18"/>
              </w:rPr>
              <w:t>7</w:t>
            </w:r>
          </w:p>
        </w:tc>
        <w:tc>
          <w:tcPr>
            <w:tcW w:w="1926" w:type="dxa"/>
            <w:shd w:val="clear" w:color="auto" w:fill="auto"/>
            <w:vAlign w:val="center"/>
            <w:hideMark/>
          </w:tcPr>
          <w:p w14:paraId="4BF9850A"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4</w:t>
            </w:r>
          </w:p>
        </w:tc>
        <w:tc>
          <w:tcPr>
            <w:tcW w:w="1926" w:type="dxa"/>
            <w:shd w:val="clear" w:color="auto" w:fill="auto"/>
            <w:vAlign w:val="center"/>
            <w:hideMark/>
          </w:tcPr>
          <w:p w14:paraId="3E71B928"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16</w:t>
            </w:r>
          </w:p>
        </w:tc>
        <w:tc>
          <w:tcPr>
            <w:tcW w:w="2364" w:type="dxa"/>
            <w:shd w:val="clear" w:color="auto" w:fill="auto"/>
            <w:vAlign w:val="center"/>
            <w:hideMark/>
          </w:tcPr>
          <w:p w14:paraId="2BD91C48"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.351</w:t>
            </w:r>
          </w:p>
        </w:tc>
        <w:tc>
          <w:tcPr>
            <w:tcW w:w="2159" w:type="dxa"/>
            <w:shd w:val="clear" w:color="auto" w:fill="auto"/>
            <w:vAlign w:val="center"/>
            <w:hideMark/>
          </w:tcPr>
          <w:p w14:paraId="431ECD73"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12</w:t>
            </w:r>
          </w:p>
        </w:tc>
      </w:tr>
      <w:tr w:rsidR="00471483" w:rsidRPr="00471483" w14:paraId="3C11F6F0" w14:textId="77777777" w:rsidTr="00471483">
        <w:trPr>
          <w:trHeight w:val="263"/>
        </w:trPr>
        <w:tc>
          <w:tcPr>
            <w:tcW w:w="1488" w:type="dxa"/>
            <w:tcBorders>
              <w:top w:val="single" w:sz="4" w:space="0" w:color="7F7F7F"/>
              <w:bottom w:val="single" w:sz="4" w:space="0" w:color="7F7F7F"/>
            </w:tcBorders>
            <w:shd w:val="clear" w:color="auto" w:fill="auto"/>
            <w:vAlign w:val="center"/>
            <w:hideMark/>
          </w:tcPr>
          <w:p w14:paraId="4D7C0ECE" w14:textId="77777777" w:rsidR="007906D0" w:rsidRPr="00471483" w:rsidRDefault="007906D0" w:rsidP="00471483">
            <w:pPr>
              <w:ind w:left="60" w:right="60"/>
              <w:jc w:val="center"/>
              <w:textAlignment w:val="baseline"/>
              <w:rPr>
                <w:rFonts w:ascii="Arial" w:eastAsia="Times New Roman" w:hAnsi="Arial" w:cs="Arial"/>
                <w:b/>
                <w:bCs/>
                <w:kern w:val="2"/>
                <w:sz w:val="18"/>
                <w:szCs w:val="18"/>
              </w:rPr>
            </w:pPr>
            <w:r w:rsidRPr="00471483">
              <w:rPr>
                <w:rFonts w:ascii="Arial" w:eastAsia="Times New Roman" w:hAnsi="Arial" w:cs="Arial"/>
                <w:b/>
                <w:bCs/>
                <w:kern w:val="2"/>
                <w:sz w:val="18"/>
                <w:szCs w:val="18"/>
              </w:rPr>
              <w:t>8</w:t>
            </w:r>
          </w:p>
        </w:tc>
        <w:tc>
          <w:tcPr>
            <w:tcW w:w="1926" w:type="dxa"/>
            <w:tcBorders>
              <w:top w:val="single" w:sz="4" w:space="0" w:color="7F7F7F"/>
              <w:bottom w:val="single" w:sz="4" w:space="0" w:color="7F7F7F"/>
            </w:tcBorders>
            <w:shd w:val="clear" w:color="auto" w:fill="auto"/>
            <w:vAlign w:val="center"/>
            <w:hideMark/>
          </w:tcPr>
          <w:p w14:paraId="2B50DCB0"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2</w:t>
            </w:r>
          </w:p>
        </w:tc>
        <w:tc>
          <w:tcPr>
            <w:tcW w:w="1926" w:type="dxa"/>
            <w:tcBorders>
              <w:top w:val="single" w:sz="4" w:space="0" w:color="7F7F7F"/>
              <w:bottom w:val="single" w:sz="4" w:space="0" w:color="7F7F7F"/>
            </w:tcBorders>
            <w:shd w:val="clear" w:color="auto" w:fill="auto"/>
            <w:vAlign w:val="center"/>
            <w:hideMark/>
          </w:tcPr>
          <w:p w14:paraId="582F1C56"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24</w:t>
            </w:r>
          </w:p>
        </w:tc>
        <w:tc>
          <w:tcPr>
            <w:tcW w:w="2364" w:type="dxa"/>
            <w:tcBorders>
              <w:top w:val="single" w:sz="4" w:space="0" w:color="7F7F7F"/>
              <w:bottom w:val="single" w:sz="4" w:space="0" w:color="7F7F7F"/>
            </w:tcBorders>
            <w:shd w:val="clear" w:color="auto" w:fill="auto"/>
            <w:vAlign w:val="center"/>
            <w:hideMark/>
          </w:tcPr>
          <w:p w14:paraId="225EE543"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.463</w:t>
            </w:r>
          </w:p>
        </w:tc>
        <w:tc>
          <w:tcPr>
            <w:tcW w:w="2159" w:type="dxa"/>
            <w:tcBorders>
              <w:top w:val="single" w:sz="4" w:space="0" w:color="7F7F7F"/>
              <w:bottom w:val="single" w:sz="4" w:space="0" w:color="7F7F7F"/>
            </w:tcBorders>
            <w:shd w:val="clear" w:color="auto" w:fill="auto"/>
            <w:vAlign w:val="center"/>
            <w:hideMark/>
          </w:tcPr>
          <w:p w14:paraId="2D8E02E6"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15</w:t>
            </w:r>
          </w:p>
        </w:tc>
      </w:tr>
      <w:tr w:rsidR="00471483" w:rsidRPr="00471483" w14:paraId="59304B04" w14:textId="77777777" w:rsidTr="00471483">
        <w:trPr>
          <w:trHeight w:val="251"/>
        </w:trPr>
        <w:tc>
          <w:tcPr>
            <w:tcW w:w="1488" w:type="dxa"/>
            <w:shd w:val="clear" w:color="auto" w:fill="auto"/>
            <w:vAlign w:val="center"/>
            <w:hideMark/>
          </w:tcPr>
          <w:p w14:paraId="183B36AC" w14:textId="77777777" w:rsidR="007906D0" w:rsidRPr="00471483" w:rsidRDefault="007906D0" w:rsidP="00471483">
            <w:pPr>
              <w:ind w:left="60" w:right="60"/>
              <w:jc w:val="center"/>
              <w:textAlignment w:val="baseline"/>
              <w:rPr>
                <w:rFonts w:ascii="Arial" w:eastAsia="Times New Roman" w:hAnsi="Arial" w:cs="Arial"/>
                <w:b/>
                <w:bCs/>
                <w:kern w:val="2"/>
                <w:sz w:val="18"/>
                <w:szCs w:val="18"/>
              </w:rPr>
            </w:pPr>
            <w:r w:rsidRPr="00471483">
              <w:rPr>
                <w:rFonts w:ascii="Arial" w:eastAsia="Times New Roman" w:hAnsi="Arial" w:cs="Arial"/>
                <w:b/>
                <w:bCs/>
                <w:kern w:val="2"/>
                <w:sz w:val="18"/>
                <w:szCs w:val="18"/>
              </w:rPr>
              <w:t>9</w:t>
            </w:r>
          </w:p>
        </w:tc>
        <w:tc>
          <w:tcPr>
            <w:tcW w:w="1926" w:type="dxa"/>
            <w:shd w:val="clear" w:color="auto" w:fill="auto"/>
            <w:vAlign w:val="center"/>
            <w:hideMark/>
          </w:tcPr>
          <w:p w14:paraId="32AD2406"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6</w:t>
            </w:r>
          </w:p>
        </w:tc>
        <w:tc>
          <w:tcPr>
            <w:tcW w:w="1926" w:type="dxa"/>
            <w:shd w:val="clear" w:color="auto" w:fill="auto"/>
            <w:vAlign w:val="center"/>
            <w:hideMark/>
          </w:tcPr>
          <w:p w14:paraId="374BD538"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25</w:t>
            </w:r>
          </w:p>
        </w:tc>
        <w:tc>
          <w:tcPr>
            <w:tcW w:w="2364" w:type="dxa"/>
            <w:shd w:val="clear" w:color="auto" w:fill="auto"/>
            <w:vAlign w:val="center"/>
            <w:hideMark/>
          </w:tcPr>
          <w:p w14:paraId="733F936B"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.582</w:t>
            </w:r>
          </w:p>
        </w:tc>
        <w:tc>
          <w:tcPr>
            <w:tcW w:w="2159" w:type="dxa"/>
            <w:shd w:val="clear" w:color="auto" w:fill="auto"/>
            <w:vAlign w:val="center"/>
            <w:hideMark/>
          </w:tcPr>
          <w:p w14:paraId="6907540C"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18</w:t>
            </w:r>
          </w:p>
        </w:tc>
      </w:tr>
      <w:tr w:rsidR="00471483" w:rsidRPr="00471483" w14:paraId="29D05AE1" w14:textId="77777777" w:rsidTr="00471483">
        <w:trPr>
          <w:trHeight w:val="251"/>
        </w:trPr>
        <w:tc>
          <w:tcPr>
            <w:tcW w:w="1488" w:type="dxa"/>
            <w:tcBorders>
              <w:top w:val="single" w:sz="4" w:space="0" w:color="7F7F7F"/>
              <w:bottom w:val="single" w:sz="4" w:space="0" w:color="7F7F7F"/>
            </w:tcBorders>
            <w:shd w:val="clear" w:color="auto" w:fill="auto"/>
            <w:vAlign w:val="center"/>
            <w:hideMark/>
          </w:tcPr>
          <w:p w14:paraId="2CBABF8E" w14:textId="77777777" w:rsidR="007906D0" w:rsidRPr="00471483" w:rsidRDefault="007906D0" w:rsidP="00471483">
            <w:pPr>
              <w:ind w:left="60" w:right="60"/>
              <w:jc w:val="center"/>
              <w:textAlignment w:val="baseline"/>
              <w:rPr>
                <w:rFonts w:ascii="Arial" w:eastAsia="Times New Roman" w:hAnsi="Arial" w:cs="Arial"/>
                <w:b/>
                <w:bCs/>
                <w:kern w:val="2"/>
                <w:sz w:val="18"/>
                <w:szCs w:val="18"/>
              </w:rPr>
            </w:pPr>
            <w:r w:rsidRPr="00471483">
              <w:rPr>
                <w:rFonts w:ascii="Arial" w:eastAsia="Times New Roman" w:hAnsi="Arial" w:cs="Arial"/>
                <w:b/>
                <w:bCs/>
                <w:kern w:val="2"/>
                <w:sz w:val="18"/>
                <w:szCs w:val="18"/>
              </w:rPr>
              <w:t>10</w:t>
            </w:r>
          </w:p>
        </w:tc>
        <w:tc>
          <w:tcPr>
            <w:tcW w:w="1926" w:type="dxa"/>
            <w:tcBorders>
              <w:top w:val="single" w:sz="4" w:space="0" w:color="7F7F7F"/>
              <w:bottom w:val="single" w:sz="4" w:space="0" w:color="7F7F7F"/>
            </w:tcBorders>
            <w:shd w:val="clear" w:color="auto" w:fill="auto"/>
            <w:vAlign w:val="center"/>
            <w:hideMark/>
          </w:tcPr>
          <w:p w14:paraId="13538208"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7</w:t>
            </w:r>
          </w:p>
        </w:tc>
        <w:tc>
          <w:tcPr>
            <w:tcW w:w="1926" w:type="dxa"/>
            <w:tcBorders>
              <w:top w:val="single" w:sz="4" w:space="0" w:color="7F7F7F"/>
              <w:bottom w:val="single" w:sz="4" w:space="0" w:color="7F7F7F"/>
            </w:tcBorders>
            <w:shd w:val="clear" w:color="auto" w:fill="auto"/>
            <w:vAlign w:val="center"/>
            <w:hideMark/>
          </w:tcPr>
          <w:p w14:paraId="05B01F69"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13</w:t>
            </w:r>
          </w:p>
        </w:tc>
        <w:tc>
          <w:tcPr>
            <w:tcW w:w="2364" w:type="dxa"/>
            <w:tcBorders>
              <w:top w:val="single" w:sz="4" w:space="0" w:color="7F7F7F"/>
              <w:bottom w:val="single" w:sz="4" w:space="0" w:color="7F7F7F"/>
            </w:tcBorders>
            <w:shd w:val="clear" w:color="auto" w:fill="auto"/>
            <w:vAlign w:val="center"/>
            <w:hideMark/>
          </w:tcPr>
          <w:p w14:paraId="50B1C2F4"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.747</w:t>
            </w:r>
          </w:p>
        </w:tc>
        <w:tc>
          <w:tcPr>
            <w:tcW w:w="2159" w:type="dxa"/>
            <w:tcBorders>
              <w:top w:val="single" w:sz="4" w:space="0" w:color="7F7F7F"/>
              <w:bottom w:val="single" w:sz="4" w:space="0" w:color="7F7F7F"/>
            </w:tcBorders>
            <w:shd w:val="clear" w:color="auto" w:fill="auto"/>
            <w:vAlign w:val="center"/>
            <w:hideMark/>
          </w:tcPr>
          <w:p w14:paraId="4E90F33D"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13</w:t>
            </w:r>
          </w:p>
        </w:tc>
      </w:tr>
      <w:tr w:rsidR="00471483" w:rsidRPr="00471483" w14:paraId="35E7D238" w14:textId="77777777" w:rsidTr="00471483">
        <w:trPr>
          <w:trHeight w:val="251"/>
        </w:trPr>
        <w:tc>
          <w:tcPr>
            <w:tcW w:w="1488" w:type="dxa"/>
            <w:shd w:val="clear" w:color="auto" w:fill="auto"/>
            <w:vAlign w:val="center"/>
            <w:hideMark/>
          </w:tcPr>
          <w:p w14:paraId="393B3CE9" w14:textId="77777777" w:rsidR="007906D0" w:rsidRPr="00471483" w:rsidRDefault="007906D0" w:rsidP="00471483">
            <w:pPr>
              <w:ind w:left="60" w:right="60"/>
              <w:jc w:val="center"/>
              <w:textAlignment w:val="baseline"/>
              <w:rPr>
                <w:rFonts w:ascii="Arial" w:eastAsia="Times New Roman" w:hAnsi="Arial" w:cs="Arial"/>
                <w:b/>
                <w:bCs/>
                <w:kern w:val="2"/>
                <w:sz w:val="18"/>
                <w:szCs w:val="18"/>
              </w:rPr>
            </w:pPr>
            <w:r w:rsidRPr="00471483">
              <w:rPr>
                <w:rFonts w:ascii="Arial" w:eastAsia="Times New Roman" w:hAnsi="Arial" w:cs="Arial"/>
                <w:b/>
                <w:bCs/>
                <w:kern w:val="2"/>
                <w:sz w:val="18"/>
                <w:szCs w:val="18"/>
              </w:rPr>
              <w:t>11</w:t>
            </w:r>
          </w:p>
        </w:tc>
        <w:tc>
          <w:tcPr>
            <w:tcW w:w="1926" w:type="dxa"/>
            <w:shd w:val="clear" w:color="auto" w:fill="auto"/>
            <w:vAlign w:val="center"/>
            <w:hideMark/>
          </w:tcPr>
          <w:p w14:paraId="309C81F3"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1</w:t>
            </w:r>
          </w:p>
        </w:tc>
        <w:tc>
          <w:tcPr>
            <w:tcW w:w="1926" w:type="dxa"/>
            <w:shd w:val="clear" w:color="auto" w:fill="auto"/>
            <w:vAlign w:val="center"/>
            <w:hideMark/>
          </w:tcPr>
          <w:p w14:paraId="7F320FCE"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14</w:t>
            </w:r>
          </w:p>
        </w:tc>
        <w:tc>
          <w:tcPr>
            <w:tcW w:w="2364" w:type="dxa"/>
            <w:shd w:val="clear" w:color="auto" w:fill="auto"/>
            <w:vAlign w:val="center"/>
            <w:hideMark/>
          </w:tcPr>
          <w:p w14:paraId="3E954B72"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.935</w:t>
            </w:r>
          </w:p>
        </w:tc>
        <w:tc>
          <w:tcPr>
            <w:tcW w:w="2159" w:type="dxa"/>
            <w:shd w:val="clear" w:color="auto" w:fill="auto"/>
            <w:vAlign w:val="center"/>
            <w:hideMark/>
          </w:tcPr>
          <w:p w14:paraId="007C26C4"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19</w:t>
            </w:r>
          </w:p>
        </w:tc>
      </w:tr>
      <w:tr w:rsidR="00471483" w:rsidRPr="00471483" w14:paraId="63E732E2" w14:textId="77777777" w:rsidTr="00471483">
        <w:trPr>
          <w:trHeight w:val="263"/>
        </w:trPr>
        <w:tc>
          <w:tcPr>
            <w:tcW w:w="1488" w:type="dxa"/>
            <w:tcBorders>
              <w:top w:val="single" w:sz="4" w:space="0" w:color="7F7F7F"/>
              <w:bottom w:val="single" w:sz="4" w:space="0" w:color="7F7F7F"/>
            </w:tcBorders>
            <w:shd w:val="clear" w:color="auto" w:fill="auto"/>
            <w:vAlign w:val="center"/>
            <w:hideMark/>
          </w:tcPr>
          <w:p w14:paraId="19787DD9" w14:textId="77777777" w:rsidR="007906D0" w:rsidRPr="00471483" w:rsidRDefault="007906D0" w:rsidP="00471483">
            <w:pPr>
              <w:ind w:left="60" w:right="60"/>
              <w:jc w:val="center"/>
              <w:textAlignment w:val="baseline"/>
              <w:rPr>
                <w:rFonts w:ascii="Arial" w:eastAsia="Times New Roman" w:hAnsi="Arial" w:cs="Arial"/>
                <w:b/>
                <w:bCs/>
                <w:kern w:val="2"/>
                <w:sz w:val="18"/>
                <w:szCs w:val="18"/>
              </w:rPr>
            </w:pPr>
            <w:r w:rsidRPr="00471483">
              <w:rPr>
                <w:rFonts w:ascii="Arial" w:eastAsia="Times New Roman" w:hAnsi="Arial" w:cs="Arial"/>
                <w:b/>
                <w:bCs/>
                <w:kern w:val="2"/>
                <w:sz w:val="18"/>
                <w:szCs w:val="18"/>
              </w:rPr>
              <w:lastRenderedPageBreak/>
              <w:t>12</w:t>
            </w:r>
          </w:p>
        </w:tc>
        <w:tc>
          <w:tcPr>
            <w:tcW w:w="1926" w:type="dxa"/>
            <w:tcBorders>
              <w:top w:val="single" w:sz="4" w:space="0" w:color="7F7F7F"/>
              <w:bottom w:val="single" w:sz="4" w:space="0" w:color="7F7F7F"/>
            </w:tcBorders>
            <w:shd w:val="clear" w:color="auto" w:fill="auto"/>
            <w:vAlign w:val="center"/>
            <w:hideMark/>
          </w:tcPr>
          <w:p w14:paraId="3E80A20F"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4</w:t>
            </w:r>
          </w:p>
        </w:tc>
        <w:tc>
          <w:tcPr>
            <w:tcW w:w="1926" w:type="dxa"/>
            <w:tcBorders>
              <w:top w:val="single" w:sz="4" w:space="0" w:color="7F7F7F"/>
              <w:bottom w:val="single" w:sz="4" w:space="0" w:color="7F7F7F"/>
            </w:tcBorders>
            <w:shd w:val="clear" w:color="auto" w:fill="auto"/>
            <w:vAlign w:val="center"/>
            <w:hideMark/>
          </w:tcPr>
          <w:p w14:paraId="67D5E413"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8</w:t>
            </w:r>
          </w:p>
        </w:tc>
        <w:tc>
          <w:tcPr>
            <w:tcW w:w="2364" w:type="dxa"/>
            <w:tcBorders>
              <w:top w:val="single" w:sz="4" w:space="0" w:color="7F7F7F"/>
              <w:bottom w:val="single" w:sz="4" w:space="0" w:color="7F7F7F"/>
            </w:tcBorders>
            <w:shd w:val="clear" w:color="auto" w:fill="auto"/>
            <w:vAlign w:val="center"/>
            <w:hideMark/>
          </w:tcPr>
          <w:p w14:paraId="139BA9D0"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1.205</w:t>
            </w:r>
          </w:p>
        </w:tc>
        <w:tc>
          <w:tcPr>
            <w:tcW w:w="2159" w:type="dxa"/>
            <w:tcBorders>
              <w:top w:val="single" w:sz="4" w:space="0" w:color="7F7F7F"/>
              <w:bottom w:val="single" w:sz="4" w:space="0" w:color="7F7F7F"/>
            </w:tcBorders>
            <w:shd w:val="clear" w:color="auto" w:fill="auto"/>
            <w:vAlign w:val="center"/>
            <w:hideMark/>
          </w:tcPr>
          <w:p w14:paraId="55CE3C2B"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22</w:t>
            </w:r>
          </w:p>
        </w:tc>
      </w:tr>
      <w:tr w:rsidR="00471483" w:rsidRPr="00471483" w14:paraId="606CEB4C" w14:textId="77777777" w:rsidTr="00471483">
        <w:trPr>
          <w:trHeight w:val="251"/>
        </w:trPr>
        <w:tc>
          <w:tcPr>
            <w:tcW w:w="1488" w:type="dxa"/>
            <w:shd w:val="clear" w:color="auto" w:fill="auto"/>
            <w:vAlign w:val="center"/>
            <w:hideMark/>
          </w:tcPr>
          <w:p w14:paraId="3797EC35" w14:textId="77777777" w:rsidR="007906D0" w:rsidRPr="00471483" w:rsidRDefault="007906D0" w:rsidP="00471483">
            <w:pPr>
              <w:ind w:left="60" w:right="60"/>
              <w:jc w:val="center"/>
              <w:textAlignment w:val="baseline"/>
              <w:rPr>
                <w:rFonts w:ascii="Arial" w:eastAsia="Times New Roman" w:hAnsi="Arial" w:cs="Arial"/>
                <w:b/>
                <w:bCs/>
                <w:kern w:val="2"/>
                <w:sz w:val="18"/>
                <w:szCs w:val="18"/>
              </w:rPr>
            </w:pPr>
            <w:r w:rsidRPr="00471483">
              <w:rPr>
                <w:rFonts w:ascii="Arial" w:eastAsia="Times New Roman" w:hAnsi="Arial" w:cs="Arial"/>
                <w:b/>
                <w:bCs/>
                <w:kern w:val="2"/>
                <w:sz w:val="18"/>
                <w:szCs w:val="18"/>
              </w:rPr>
              <w:t>13</w:t>
            </w:r>
          </w:p>
        </w:tc>
        <w:tc>
          <w:tcPr>
            <w:tcW w:w="1926" w:type="dxa"/>
            <w:shd w:val="clear" w:color="auto" w:fill="auto"/>
            <w:vAlign w:val="center"/>
            <w:hideMark/>
          </w:tcPr>
          <w:p w14:paraId="5A4D7A81"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7</w:t>
            </w:r>
          </w:p>
        </w:tc>
        <w:tc>
          <w:tcPr>
            <w:tcW w:w="1926" w:type="dxa"/>
            <w:shd w:val="clear" w:color="auto" w:fill="auto"/>
            <w:vAlign w:val="center"/>
            <w:hideMark/>
          </w:tcPr>
          <w:p w14:paraId="69618B1D"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22</w:t>
            </w:r>
          </w:p>
        </w:tc>
        <w:tc>
          <w:tcPr>
            <w:tcW w:w="2364" w:type="dxa"/>
            <w:shd w:val="clear" w:color="auto" w:fill="auto"/>
            <w:vAlign w:val="center"/>
            <w:hideMark/>
          </w:tcPr>
          <w:p w14:paraId="5E22D916"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1.520</w:t>
            </w:r>
          </w:p>
        </w:tc>
        <w:tc>
          <w:tcPr>
            <w:tcW w:w="2159" w:type="dxa"/>
            <w:shd w:val="clear" w:color="auto" w:fill="auto"/>
            <w:vAlign w:val="center"/>
            <w:hideMark/>
          </w:tcPr>
          <w:p w14:paraId="79EEFD00"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15</w:t>
            </w:r>
          </w:p>
        </w:tc>
      </w:tr>
      <w:tr w:rsidR="00471483" w:rsidRPr="00471483" w14:paraId="6A9F558D" w14:textId="77777777" w:rsidTr="00471483">
        <w:trPr>
          <w:trHeight w:val="251"/>
        </w:trPr>
        <w:tc>
          <w:tcPr>
            <w:tcW w:w="1488" w:type="dxa"/>
            <w:tcBorders>
              <w:top w:val="single" w:sz="4" w:space="0" w:color="7F7F7F"/>
              <w:bottom w:val="single" w:sz="4" w:space="0" w:color="7F7F7F"/>
            </w:tcBorders>
            <w:shd w:val="clear" w:color="auto" w:fill="auto"/>
            <w:vAlign w:val="center"/>
            <w:hideMark/>
          </w:tcPr>
          <w:p w14:paraId="4D8BBE04" w14:textId="77777777" w:rsidR="007906D0" w:rsidRPr="00471483" w:rsidRDefault="007906D0" w:rsidP="00471483">
            <w:pPr>
              <w:ind w:left="60" w:right="60"/>
              <w:jc w:val="center"/>
              <w:textAlignment w:val="baseline"/>
              <w:rPr>
                <w:rFonts w:ascii="Arial" w:eastAsia="Times New Roman" w:hAnsi="Arial" w:cs="Arial"/>
                <w:b/>
                <w:bCs/>
                <w:kern w:val="2"/>
                <w:sz w:val="18"/>
                <w:szCs w:val="18"/>
              </w:rPr>
            </w:pPr>
            <w:r w:rsidRPr="00471483">
              <w:rPr>
                <w:rFonts w:ascii="Arial" w:eastAsia="Times New Roman" w:hAnsi="Arial" w:cs="Arial"/>
                <w:b/>
                <w:bCs/>
                <w:kern w:val="2"/>
                <w:sz w:val="18"/>
                <w:szCs w:val="18"/>
              </w:rPr>
              <w:t>14</w:t>
            </w:r>
          </w:p>
        </w:tc>
        <w:tc>
          <w:tcPr>
            <w:tcW w:w="1926" w:type="dxa"/>
            <w:tcBorders>
              <w:top w:val="single" w:sz="4" w:space="0" w:color="7F7F7F"/>
              <w:bottom w:val="single" w:sz="4" w:space="0" w:color="7F7F7F"/>
            </w:tcBorders>
            <w:shd w:val="clear" w:color="auto" w:fill="auto"/>
            <w:vAlign w:val="center"/>
            <w:hideMark/>
          </w:tcPr>
          <w:p w14:paraId="05057F84"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20</w:t>
            </w:r>
          </w:p>
        </w:tc>
        <w:tc>
          <w:tcPr>
            <w:tcW w:w="1926" w:type="dxa"/>
            <w:tcBorders>
              <w:top w:val="single" w:sz="4" w:space="0" w:color="7F7F7F"/>
              <w:bottom w:val="single" w:sz="4" w:space="0" w:color="7F7F7F"/>
            </w:tcBorders>
            <w:shd w:val="clear" w:color="auto" w:fill="auto"/>
            <w:vAlign w:val="center"/>
            <w:hideMark/>
          </w:tcPr>
          <w:p w14:paraId="3EF9992F"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21</w:t>
            </w:r>
          </w:p>
        </w:tc>
        <w:tc>
          <w:tcPr>
            <w:tcW w:w="2364" w:type="dxa"/>
            <w:tcBorders>
              <w:top w:val="single" w:sz="4" w:space="0" w:color="7F7F7F"/>
              <w:bottom w:val="single" w:sz="4" w:space="0" w:color="7F7F7F"/>
            </w:tcBorders>
            <w:shd w:val="clear" w:color="auto" w:fill="auto"/>
            <w:vAlign w:val="center"/>
            <w:hideMark/>
          </w:tcPr>
          <w:p w14:paraId="08767CB0"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1.866</w:t>
            </w:r>
          </w:p>
        </w:tc>
        <w:tc>
          <w:tcPr>
            <w:tcW w:w="2159" w:type="dxa"/>
            <w:tcBorders>
              <w:top w:val="single" w:sz="4" w:space="0" w:color="7F7F7F"/>
              <w:bottom w:val="single" w:sz="4" w:space="0" w:color="7F7F7F"/>
            </w:tcBorders>
            <w:shd w:val="clear" w:color="auto" w:fill="auto"/>
            <w:vAlign w:val="center"/>
            <w:hideMark/>
          </w:tcPr>
          <w:p w14:paraId="449A32E5"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20</w:t>
            </w:r>
          </w:p>
        </w:tc>
      </w:tr>
      <w:tr w:rsidR="00471483" w:rsidRPr="00471483" w14:paraId="7537D6D9" w14:textId="77777777" w:rsidTr="00471483">
        <w:trPr>
          <w:trHeight w:val="251"/>
        </w:trPr>
        <w:tc>
          <w:tcPr>
            <w:tcW w:w="1488" w:type="dxa"/>
            <w:shd w:val="clear" w:color="auto" w:fill="auto"/>
            <w:vAlign w:val="center"/>
            <w:hideMark/>
          </w:tcPr>
          <w:p w14:paraId="7DA204AB" w14:textId="77777777" w:rsidR="007906D0" w:rsidRPr="00471483" w:rsidRDefault="007906D0" w:rsidP="00471483">
            <w:pPr>
              <w:ind w:left="60" w:right="60"/>
              <w:jc w:val="center"/>
              <w:textAlignment w:val="baseline"/>
              <w:rPr>
                <w:rFonts w:ascii="Arial" w:eastAsia="Times New Roman" w:hAnsi="Arial" w:cs="Arial"/>
                <w:b/>
                <w:bCs/>
                <w:kern w:val="2"/>
                <w:sz w:val="18"/>
                <w:szCs w:val="18"/>
              </w:rPr>
            </w:pPr>
            <w:r w:rsidRPr="00471483">
              <w:rPr>
                <w:rFonts w:ascii="Arial" w:eastAsia="Times New Roman" w:hAnsi="Arial" w:cs="Arial"/>
                <w:b/>
                <w:bCs/>
                <w:kern w:val="2"/>
                <w:sz w:val="18"/>
                <w:szCs w:val="18"/>
              </w:rPr>
              <w:t>15</w:t>
            </w:r>
          </w:p>
        </w:tc>
        <w:tc>
          <w:tcPr>
            <w:tcW w:w="1926" w:type="dxa"/>
            <w:shd w:val="clear" w:color="auto" w:fill="auto"/>
            <w:vAlign w:val="center"/>
            <w:hideMark/>
          </w:tcPr>
          <w:p w14:paraId="4B9A1D64"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2</w:t>
            </w:r>
          </w:p>
        </w:tc>
        <w:tc>
          <w:tcPr>
            <w:tcW w:w="1926" w:type="dxa"/>
            <w:shd w:val="clear" w:color="auto" w:fill="auto"/>
            <w:vAlign w:val="center"/>
            <w:hideMark/>
          </w:tcPr>
          <w:p w14:paraId="7266562C"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7</w:t>
            </w:r>
          </w:p>
        </w:tc>
        <w:tc>
          <w:tcPr>
            <w:tcW w:w="2364" w:type="dxa"/>
            <w:shd w:val="clear" w:color="auto" w:fill="auto"/>
            <w:vAlign w:val="center"/>
            <w:hideMark/>
          </w:tcPr>
          <w:p w14:paraId="5B04D5D0"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2.228</w:t>
            </w:r>
          </w:p>
        </w:tc>
        <w:tc>
          <w:tcPr>
            <w:tcW w:w="2159" w:type="dxa"/>
            <w:shd w:val="clear" w:color="auto" w:fill="auto"/>
            <w:vAlign w:val="center"/>
            <w:hideMark/>
          </w:tcPr>
          <w:p w14:paraId="638B61E7"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19</w:t>
            </w:r>
          </w:p>
        </w:tc>
      </w:tr>
      <w:tr w:rsidR="00471483" w:rsidRPr="00471483" w14:paraId="2DB9FD0B" w14:textId="77777777" w:rsidTr="00471483">
        <w:trPr>
          <w:trHeight w:val="263"/>
        </w:trPr>
        <w:tc>
          <w:tcPr>
            <w:tcW w:w="1488" w:type="dxa"/>
            <w:tcBorders>
              <w:top w:val="single" w:sz="4" w:space="0" w:color="7F7F7F"/>
              <w:bottom w:val="single" w:sz="4" w:space="0" w:color="7F7F7F"/>
            </w:tcBorders>
            <w:shd w:val="clear" w:color="auto" w:fill="auto"/>
            <w:vAlign w:val="center"/>
            <w:hideMark/>
          </w:tcPr>
          <w:p w14:paraId="7A3A2D4D" w14:textId="77777777" w:rsidR="007906D0" w:rsidRPr="00471483" w:rsidRDefault="007906D0" w:rsidP="00471483">
            <w:pPr>
              <w:ind w:left="60" w:right="60"/>
              <w:jc w:val="center"/>
              <w:textAlignment w:val="baseline"/>
              <w:rPr>
                <w:rFonts w:ascii="Arial" w:eastAsia="Times New Roman" w:hAnsi="Arial" w:cs="Arial"/>
                <w:b/>
                <w:bCs/>
                <w:kern w:val="2"/>
                <w:sz w:val="18"/>
                <w:szCs w:val="18"/>
              </w:rPr>
            </w:pPr>
            <w:r w:rsidRPr="00471483">
              <w:rPr>
                <w:rFonts w:ascii="Arial" w:eastAsia="Times New Roman" w:hAnsi="Arial" w:cs="Arial"/>
                <w:b/>
                <w:bCs/>
                <w:kern w:val="2"/>
                <w:sz w:val="18"/>
                <w:szCs w:val="18"/>
              </w:rPr>
              <w:t>16</w:t>
            </w:r>
          </w:p>
        </w:tc>
        <w:tc>
          <w:tcPr>
            <w:tcW w:w="1926" w:type="dxa"/>
            <w:tcBorders>
              <w:top w:val="single" w:sz="4" w:space="0" w:color="7F7F7F"/>
              <w:bottom w:val="single" w:sz="4" w:space="0" w:color="7F7F7F"/>
            </w:tcBorders>
            <w:shd w:val="clear" w:color="auto" w:fill="auto"/>
            <w:vAlign w:val="center"/>
            <w:hideMark/>
          </w:tcPr>
          <w:p w14:paraId="24E8E786"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3</w:t>
            </w:r>
          </w:p>
        </w:tc>
        <w:tc>
          <w:tcPr>
            <w:tcW w:w="1926" w:type="dxa"/>
            <w:tcBorders>
              <w:top w:val="single" w:sz="4" w:space="0" w:color="7F7F7F"/>
              <w:bottom w:val="single" w:sz="4" w:space="0" w:color="7F7F7F"/>
            </w:tcBorders>
            <w:shd w:val="clear" w:color="auto" w:fill="auto"/>
            <w:vAlign w:val="center"/>
            <w:hideMark/>
          </w:tcPr>
          <w:p w14:paraId="1606BF99"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12</w:t>
            </w:r>
          </w:p>
        </w:tc>
        <w:tc>
          <w:tcPr>
            <w:tcW w:w="2364" w:type="dxa"/>
            <w:tcBorders>
              <w:top w:val="single" w:sz="4" w:space="0" w:color="7F7F7F"/>
              <w:bottom w:val="single" w:sz="4" w:space="0" w:color="7F7F7F"/>
            </w:tcBorders>
            <w:shd w:val="clear" w:color="auto" w:fill="auto"/>
            <w:vAlign w:val="center"/>
            <w:hideMark/>
          </w:tcPr>
          <w:p w14:paraId="1BF101BD"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2.728</w:t>
            </w:r>
          </w:p>
        </w:tc>
        <w:tc>
          <w:tcPr>
            <w:tcW w:w="2159" w:type="dxa"/>
            <w:tcBorders>
              <w:top w:val="single" w:sz="4" w:space="0" w:color="7F7F7F"/>
              <w:bottom w:val="single" w:sz="4" w:space="0" w:color="7F7F7F"/>
            </w:tcBorders>
            <w:shd w:val="clear" w:color="auto" w:fill="auto"/>
            <w:vAlign w:val="center"/>
            <w:hideMark/>
          </w:tcPr>
          <w:p w14:paraId="07DC6922"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21</w:t>
            </w:r>
          </w:p>
        </w:tc>
      </w:tr>
      <w:tr w:rsidR="00471483" w:rsidRPr="00471483" w14:paraId="23022621" w14:textId="77777777" w:rsidTr="00471483">
        <w:trPr>
          <w:trHeight w:val="251"/>
        </w:trPr>
        <w:tc>
          <w:tcPr>
            <w:tcW w:w="1488" w:type="dxa"/>
            <w:shd w:val="clear" w:color="auto" w:fill="auto"/>
            <w:vAlign w:val="center"/>
            <w:hideMark/>
          </w:tcPr>
          <w:p w14:paraId="532D519B" w14:textId="77777777" w:rsidR="007906D0" w:rsidRPr="00471483" w:rsidRDefault="007906D0" w:rsidP="00471483">
            <w:pPr>
              <w:ind w:left="60" w:right="60"/>
              <w:jc w:val="center"/>
              <w:textAlignment w:val="baseline"/>
              <w:rPr>
                <w:rFonts w:ascii="Arial" w:eastAsia="Times New Roman" w:hAnsi="Arial" w:cs="Arial"/>
                <w:b/>
                <w:bCs/>
                <w:kern w:val="2"/>
                <w:sz w:val="18"/>
                <w:szCs w:val="18"/>
              </w:rPr>
            </w:pPr>
            <w:r w:rsidRPr="00471483">
              <w:rPr>
                <w:rFonts w:ascii="Arial" w:eastAsia="Times New Roman" w:hAnsi="Arial" w:cs="Arial"/>
                <w:b/>
                <w:bCs/>
                <w:kern w:val="2"/>
                <w:sz w:val="18"/>
                <w:szCs w:val="18"/>
              </w:rPr>
              <w:t>17</w:t>
            </w:r>
          </w:p>
        </w:tc>
        <w:tc>
          <w:tcPr>
            <w:tcW w:w="1926" w:type="dxa"/>
            <w:shd w:val="clear" w:color="auto" w:fill="auto"/>
            <w:vAlign w:val="center"/>
            <w:hideMark/>
          </w:tcPr>
          <w:p w14:paraId="0CA09382"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15</w:t>
            </w:r>
          </w:p>
        </w:tc>
        <w:tc>
          <w:tcPr>
            <w:tcW w:w="1926" w:type="dxa"/>
            <w:shd w:val="clear" w:color="auto" w:fill="auto"/>
            <w:vAlign w:val="center"/>
            <w:hideMark/>
          </w:tcPr>
          <w:p w14:paraId="0747A0CC"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23</w:t>
            </w:r>
          </w:p>
        </w:tc>
        <w:tc>
          <w:tcPr>
            <w:tcW w:w="2364" w:type="dxa"/>
            <w:shd w:val="clear" w:color="auto" w:fill="auto"/>
            <w:vAlign w:val="center"/>
            <w:hideMark/>
          </w:tcPr>
          <w:p w14:paraId="61F058EC"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3.410</w:t>
            </w:r>
          </w:p>
        </w:tc>
        <w:tc>
          <w:tcPr>
            <w:tcW w:w="2159" w:type="dxa"/>
            <w:shd w:val="clear" w:color="auto" w:fill="auto"/>
            <w:vAlign w:val="center"/>
            <w:hideMark/>
          </w:tcPr>
          <w:p w14:paraId="5C903305"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23</w:t>
            </w:r>
          </w:p>
        </w:tc>
      </w:tr>
      <w:tr w:rsidR="00471483" w:rsidRPr="00471483" w14:paraId="3009EDD2" w14:textId="77777777" w:rsidTr="00471483">
        <w:trPr>
          <w:trHeight w:val="251"/>
        </w:trPr>
        <w:tc>
          <w:tcPr>
            <w:tcW w:w="1488" w:type="dxa"/>
            <w:tcBorders>
              <w:top w:val="single" w:sz="4" w:space="0" w:color="7F7F7F"/>
              <w:bottom w:val="single" w:sz="4" w:space="0" w:color="7F7F7F"/>
            </w:tcBorders>
            <w:shd w:val="clear" w:color="auto" w:fill="auto"/>
            <w:vAlign w:val="center"/>
            <w:hideMark/>
          </w:tcPr>
          <w:p w14:paraId="247D7544" w14:textId="77777777" w:rsidR="007906D0" w:rsidRPr="00471483" w:rsidRDefault="007906D0" w:rsidP="00471483">
            <w:pPr>
              <w:ind w:left="60" w:right="60"/>
              <w:jc w:val="center"/>
              <w:textAlignment w:val="baseline"/>
              <w:rPr>
                <w:rFonts w:ascii="Arial" w:eastAsia="Times New Roman" w:hAnsi="Arial" w:cs="Arial"/>
                <w:b/>
                <w:bCs/>
                <w:kern w:val="2"/>
                <w:sz w:val="18"/>
                <w:szCs w:val="18"/>
              </w:rPr>
            </w:pPr>
            <w:r w:rsidRPr="00471483">
              <w:rPr>
                <w:rFonts w:ascii="Arial" w:eastAsia="Times New Roman" w:hAnsi="Arial" w:cs="Arial"/>
                <w:b/>
                <w:bCs/>
                <w:kern w:val="2"/>
                <w:sz w:val="18"/>
                <w:szCs w:val="18"/>
              </w:rPr>
              <w:t>18</w:t>
            </w:r>
          </w:p>
        </w:tc>
        <w:tc>
          <w:tcPr>
            <w:tcW w:w="1926" w:type="dxa"/>
            <w:tcBorders>
              <w:top w:val="single" w:sz="4" w:space="0" w:color="7F7F7F"/>
              <w:bottom w:val="single" w:sz="4" w:space="0" w:color="7F7F7F"/>
            </w:tcBorders>
            <w:shd w:val="clear" w:color="auto" w:fill="auto"/>
            <w:vAlign w:val="center"/>
            <w:hideMark/>
          </w:tcPr>
          <w:p w14:paraId="7C086ACC"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6</w:t>
            </w:r>
          </w:p>
        </w:tc>
        <w:tc>
          <w:tcPr>
            <w:tcW w:w="1926" w:type="dxa"/>
            <w:tcBorders>
              <w:top w:val="single" w:sz="4" w:space="0" w:color="7F7F7F"/>
              <w:bottom w:val="single" w:sz="4" w:space="0" w:color="7F7F7F"/>
            </w:tcBorders>
            <w:shd w:val="clear" w:color="auto" w:fill="auto"/>
            <w:vAlign w:val="center"/>
            <w:hideMark/>
          </w:tcPr>
          <w:p w14:paraId="69F5FDAE"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17</w:t>
            </w:r>
          </w:p>
        </w:tc>
        <w:tc>
          <w:tcPr>
            <w:tcW w:w="2364" w:type="dxa"/>
            <w:tcBorders>
              <w:top w:val="single" w:sz="4" w:space="0" w:color="7F7F7F"/>
              <w:bottom w:val="single" w:sz="4" w:space="0" w:color="7F7F7F"/>
            </w:tcBorders>
            <w:shd w:val="clear" w:color="auto" w:fill="auto"/>
            <w:vAlign w:val="center"/>
            <w:hideMark/>
          </w:tcPr>
          <w:p w14:paraId="1D11F9DE"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4.450</w:t>
            </w:r>
          </w:p>
        </w:tc>
        <w:tc>
          <w:tcPr>
            <w:tcW w:w="2159" w:type="dxa"/>
            <w:tcBorders>
              <w:top w:val="single" w:sz="4" w:space="0" w:color="7F7F7F"/>
              <w:bottom w:val="single" w:sz="4" w:space="0" w:color="7F7F7F"/>
            </w:tcBorders>
            <w:shd w:val="clear" w:color="auto" w:fill="auto"/>
            <w:vAlign w:val="center"/>
            <w:hideMark/>
          </w:tcPr>
          <w:p w14:paraId="55AB8493"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23</w:t>
            </w:r>
          </w:p>
        </w:tc>
      </w:tr>
      <w:tr w:rsidR="00471483" w:rsidRPr="00471483" w14:paraId="3DD76DF6" w14:textId="77777777" w:rsidTr="00471483">
        <w:trPr>
          <w:trHeight w:val="251"/>
        </w:trPr>
        <w:tc>
          <w:tcPr>
            <w:tcW w:w="1488" w:type="dxa"/>
            <w:shd w:val="clear" w:color="auto" w:fill="auto"/>
            <w:vAlign w:val="center"/>
            <w:hideMark/>
          </w:tcPr>
          <w:p w14:paraId="07F552C8" w14:textId="77777777" w:rsidR="007906D0" w:rsidRPr="00471483" w:rsidRDefault="007906D0" w:rsidP="00471483">
            <w:pPr>
              <w:ind w:left="60" w:right="60"/>
              <w:jc w:val="center"/>
              <w:textAlignment w:val="baseline"/>
              <w:rPr>
                <w:rFonts w:ascii="Arial" w:eastAsia="Times New Roman" w:hAnsi="Arial" w:cs="Arial"/>
                <w:b/>
                <w:bCs/>
                <w:kern w:val="2"/>
                <w:sz w:val="18"/>
                <w:szCs w:val="18"/>
              </w:rPr>
            </w:pPr>
            <w:r w:rsidRPr="00471483">
              <w:rPr>
                <w:rFonts w:ascii="Arial" w:eastAsia="Times New Roman" w:hAnsi="Arial" w:cs="Arial"/>
                <w:b/>
                <w:bCs/>
                <w:kern w:val="2"/>
                <w:sz w:val="18"/>
                <w:szCs w:val="18"/>
              </w:rPr>
              <w:t>19</w:t>
            </w:r>
          </w:p>
        </w:tc>
        <w:tc>
          <w:tcPr>
            <w:tcW w:w="1926" w:type="dxa"/>
            <w:shd w:val="clear" w:color="auto" w:fill="auto"/>
            <w:vAlign w:val="center"/>
            <w:hideMark/>
          </w:tcPr>
          <w:p w14:paraId="69756CB0"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1</w:t>
            </w:r>
          </w:p>
        </w:tc>
        <w:tc>
          <w:tcPr>
            <w:tcW w:w="1926" w:type="dxa"/>
            <w:shd w:val="clear" w:color="auto" w:fill="auto"/>
            <w:vAlign w:val="center"/>
            <w:hideMark/>
          </w:tcPr>
          <w:p w14:paraId="58D79851"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2</w:t>
            </w:r>
          </w:p>
        </w:tc>
        <w:tc>
          <w:tcPr>
            <w:tcW w:w="2364" w:type="dxa"/>
            <w:shd w:val="clear" w:color="auto" w:fill="auto"/>
            <w:vAlign w:val="center"/>
            <w:hideMark/>
          </w:tcPr>
          <w:p w14:paraId="61FB4958"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6.109</w:t>
            </w:r>
          </w:p>
        </w:tc>
        <w:tc>
          <w:tcPr>
            <w:tcW w:w="2159" w:type="dxa"/>
            <w:shd w:val="clear" w:color="auto" w:fill="auto"/>
            <w:vAlign w:val="center"/>
            <w:hideMark/>
          </w:tcPr>
          <w:p w14:paraId="0039A0B8"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22</w:t>
            </w:r>
          </w:p>
        </w:tc>
      </w:tr>
      <w:tr w:rsidR="00471483" w:rsidRPr="00471483" w14:paraId="3C7EBCDB" w14:textId="77777777" w:rsidTr="00471483">
        <w:trPr>
          <w:trHeight w:val="263"/>
        </w:trPr>
        <w:tc>
          <w:tcPr>
            <w:tcW w:w="1488" w:type="dxa"/>
            <w:tcBorders>
              <w:top w:val="single" w:sz="4" w:space="0" w:color="7F7F7F"/>
              <w:bottom w:val="single" w:sz="4" w:space="0" w:color="7F7F7F"/>
            </w:tcBorders>
            <w:shd w:val="clear" w:color="auto" w:fill="auto"/>
            <w:vAlign w:val="center"/>
            <w:hideMark/>
          </w:tcPr>
          <w:p w14:paraId="0CA25C46" w14:textId="77777777" w:rsidR="007906D0" w:rsidRPr="00471483" w:rsidRDefault="007906D0" w:rsidP="00471483">
            <w:pPr>
              <w:ind w:left="60" w:right="60"/>
              <w:jc w:val="center"/>
              <w:textAlignment w:val="baseline"/>
              <w:rPr>
                <w:rFonts w:ascii="Arial" w:eastAsia="Times New Roman" w:hAnsi="Arial" w:cs="Arial"/>
                <w:b/>
                <w:bCs/>
                <w:kern w:val="2"/>
                <w:sz w:val="18"/>
                <w:szCs w:val="18"/>
              </w:rPr>
            </w:pPr>
            <w:r w:rsidRPr="00471483">
              <w:rPr>
                <w:rFonts w:ascii="Arial" w:eastAsia="Times New Roman" w:hAnsi="Arial" w:cs="Arial"/>
                <w:b/>
                <w:bCs/>
                <w:kern w:val="2"/>
                <w:sz w:val="18"/>
                <w:szCs w:val="18"/>
              </w:rPr>
              <w:t>20</w:t>
            </w:r>
          </w:p>
        </w:tc>
        <w:tc>
          <w:tcPr>
            <w:tcW w:w="1926" w:type="dxa"/>
            <w:tcBorders>
              <w:top w:val="single" w:sz="4" w:space="0" w:color="7F7F7F"/>
              <w:bottom w:val="single" w:sz="4" w:space="0" w:color="7F7F7F"/>
            </w:tcBorders>
            <w:shd w:val="clear" w:color="auto" w:fill="auto"/>
            <w:vAlign w:val="center"/>
            <w:hideMark/>
          </w:tcPr>
          <w:p w14:paraId="4BBAAC7D"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5</w:t>
            </w:r>
          </w:p>
        </w:tc>
        <w:tc>
          <w:tcPr>
            <w:tcW w:w="1926" w:type="dxa"/>
            <w:tcBorders>
              <w:top w:val="single" w:sz="4" w:space="0" w:color="7F7F7F"/>
              <w:bottom w:val="single" w:sz="4" w:space="0" w:color="7F7F7F"/>
            </w:tcBorders>
            <w:shd w:val="clear" w:color="auto" w:fill="auto"/>
            <w:vAlign w:val="center"/>
            <w:hideMark/>
          </w:tcPr>
          <w:p w14:paraId="5378270D"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20</w:t>
            </w:r>
          </w:p>
        </w:tc>
        <w:tc>
          <w:tcPr>
            <w:tcW w:w="2364" w:type="dxa"/>
            <w:tcBorders>
              <w:top w:val="single" w:sz="4" w:space="0" w:color="7F7F7F"/>
              <w:bottom w:val="double" w:sz="4" w:space="0" w:color="auto"/>
            </w:tcBorders>
            <w:shd w:val="clear" w:color="auto" w:fill="auto"/>
            <w:vAlign w:val="center"/>
            <w:hideMark/>
          </w:tcPr>
          <w:p w14:paraId="437F104A"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8.105</w:t>
            </w:r>
          </w:p>
        </w:tc>
        <w:tc>
          <w:tcPr>
            <w:tcW w:w="2159" w:type="dxa"/>
            <w:tcBorders>
              <w:top w:val="single" w:sz="4" w:space="0" w:color="7F7F7F"/>
              <w:bottom w:val="single" w:sz="4" w:space="0" w:color="7F7F7F"/>
            </w:tcBorders>
            <w:shd w:val="clear" w:color="auto" w:fill="auto"/>
            <w:vAlign w:val="center"/>
            <w:hideMark/>
          </w:tcPr>
          <w:p w14:paraId="7CA0B64E"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21</w:t>
            </w:r>
          </w:p>
        </w:tc>
      </w:tr>
      <w:tr w:rsidR="00471483" w:rsidRPr="00471483" w14:paraId="32FC7241" w14:textId="77777777" w:rsidTr="00471483">
        <w:trPr>
          <w:trHeight w:val="251"/>
        </w:trPr>
        <w:tc>
          <w:tcPr>
            <w:tcW w:w="1488" w:type="dxa"/>
            <w:shd w:val="clear" w:color="auto" w:fill="auto"/>
            <w:vAlign w:val="center"/>
            <w:hideMark/>
          </w:tcPr>
          <w:p w14:paraId="651FF466" w14:textId="77777777" w:rsidR="007906D0" w:rsidRPr="00471483" w:rsidRDefault="007906D0" w:rsidP="00471483">
            <w:pPr>
              <w:ind w:left="60" w:right="60"/>
              <w:jc w:val="center"/>
              <w:textAlignment w:val="baseline"/>
              <w:rPr>
                <w:rFonts w:ascii="Arial" w:eastAsia="Times New Roman" w:hAnsi="Arial" w:cs="Arial"/>
                <w:b/>
                <w:bCs/>
                <w:kern w:val="2"/>
                <w:sz w:val="18"/>
                <w:szCs w:val="18"/>
              </w:rPr>
            </w:pPr>
            <w:r w:rsidRPr="00471483">
              <w:rPr>
                <w:rFonts w:ascii="Arial" w:eastAsia="Times New Roman" w:hAnsi="Arial" w:cs="Arial"/>
                <w:b/>
                <w:bCs/>
                <w:kern w:val="2"/>
                <w:sz w:val="18"/>
                <w:szCs w:val="18"/>
              </w:rPr>
              <w:t>21</w:t>
            </w:r>
          </w:p>
        </w:tc>
        <w:tc>
          <w:tcPr>
            <w:tcW w:w="1926" w:type="dxa"/>
            <w:shd w:val="clear" w:color="auto" w:fill="auto"/>
            <w:vAlign w:val="center"/>
            <w:hideMark/>
          </w:tcPr>
          <w:p w14:paraId="15EFDAE7"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3</w:t>
            </w:r>
          </w:p>
        </w:tc>
        <w:tc>
          <w:tcPr>
            <w:tcW w:w="1926" w:type="dxa"/>
            <w:tcBorders>
              <w:right w:val="double" w:sz="4" w:space="0" w:color="auto"/>
            </w:tcBorders>
            <w:shd w:val="clear" w:color="auto" w:fill="auto"/>
            <w:vAlign w:val="center"/>
            <w:hideMark/>
          </w:tcPr>
          <w:p w14:paraId="2DAD8E56"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5</w:t>
            </w:r>
          </w:p>
        </w:tc>
        <w:tc>
          <w:tcPr>
            <w:tcW w:w="2364" w:type="dxa"/>
            <w:tcBorders>
              <w:top w:val="double" w:sz="4" w:space="0" w:color="auto"/>
              <w:left w:val="double" w:sz="4" w:space="0" w:color="auto"/>
              <w:bottom w:val="single" w:sz="4" w:space="0" w:color="auto"/>
              <w:right w:val="double" w:sz="4" w:space="0" w:color="auto"/>
            </w:tcBorders>
            <w:shd w:val="clear" w:color="auto" w:fill="auto"/>
            <w:vAlign w:val="center"/>
            <w:hideMark/>
          </w:tcPr>
          <w:p w14:paraId="763A387B"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b/>
                <w:bCs/>
                <w:kern w:val="2"/>
                <w:sz w:val="18"/>
                <w:szCs w:val="18"/>
              </w:rPr>
              <w:t>10.534</w:t>
            </w:r>
          </w:p>
        </w:tc>
        <w:tc>
          <w:tcPr>
            <w:tcW w:w="2159" w:type="dxa"/>
            <w:tcBorders>
              <w:left w:val="double" w:sz="4" w:space="0" w:color="auto"/>
            </w:tcBorders>
            <w:shd w:val="clear" w:color="auto" w:fill="auto"/>
            <w:vAlign w:val="center"/>
            <w:hideMark/>
          </w:tcPr>
          <w:p w14:paraId="3295AC36"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25</w:t>
            </w:r>
          </w:p>
        </w:tc>
      </w:tr>
      <w:tr w:rsidR="00471483" w:rsidRPr="00471483" w14:paraId="1E61D28F" w14:textId="77777777" w:rsidTr="00471483">
        <w:trPr>
          <w:trHeight w:val="251"/>
        </w:trPr>
        <w:tc>
          <w:tcPr>
            <w:tcW w:w="1488" w:type="dxa"/>
            <w:tcBorders>
              <w:top w:val="single" w:sz="4" w:space="0" w:color="7F7F7F"/>
              <w:bottom w:val="single" w:sz="4" w:space="0" w:color="7F7F7F"/>
            </w:tcBorders>
            <w:shd w:val="clear" w:color="auto" w:fill="auto"/>
            <w:vAlign w:val="center"/>
            <w:hideMark/>
          </w:tcPr>
          <w:p w14:paraId="19B7EAE7" w14:textId="77777777" w:rsidR="007906D0" w:rsidRPr="00471483" w:rsidRDefault="007906D0" w:rsidP="00471483">
            <w:pPr>
              <w:ind w:left="60" w:right="60"/>
              <w:jc w:val="center"/>
              <w:textAlignment w:val="baseline"/>
              <w:rPr>
                <w:rFonts w:ascii="Arial" w:eastAsia="Times New Roman" w:hAnsi="Arial" w:cs="Arial"/>
                <w:b/>
                <w:bCs/>
                <w:kern w:val="2"/>
                <w:sz w:val="18"/>
                <w:szCs w:val="18"/>
              </w:rPr>
            </w:pPr>
            <w:r w:rsidRPr="00471483">
              <w:rPr>
                <w:rFonts w:ascii="Arial" w:eastAsia="Times New Roman" w:hAnsi="Arial" w:cs="Arial"/>
                <w:b/>
                <w:bCs/>
                <w:kern w:val="2"/>
                <w:sz w:val="18"/>
                <w:szCs w:val="18"/>
              </w:rPr>
              <w:t>22</w:t>
            </w:r>
          </w:p>
        </w:tc>
        <w:tc>
          <w:tcPr>
            <w:tcW w:w="1926" w:type="dxa"/>
            <w:tcBorders>
              <w:top w:val="single" w:sz="4" w:space="0" w:color="7F7F7F"/>
              <w:bottom w:val="single" w:sz="4" w:space="0" w:color="7F7F7F"/>
            </w:tcBorders>
            <w:shd w:val="clear" w:color="auto" w:fill="auto"/>
            <w:vAlign w:val="center"/>
            <w:hideMark/>
          </w:tcPr>
          <w:p w14:paraId="3FBB57BD"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1</w:t>
            </w:r>
          </w:p>
        </w:tc>
        <w:tc>
          <w:tcPr>
            <w:tcW w:w="1926" w:type="dxa"/>
            <w:tcBorders>
              <w:top w:val="single" w:sz="4" w:space="0" w:color="7F7F7F"/>
              <w:bottom w:val="single" w:sz="4" w:space="0" w:color="7F7F7F"/>
              <w:right w:val="double" w:sz="4" w:space="0" w:color="auto"/>
            </w:tcBorders>
            <w:shd w:val="clear" w:color="auto" w:fill="auto"/>
            <w:vAlign w:val="center"/>
            <w:hideMark/>
          </w:tcPr>
          <w:p w14:paraId="1121D3DE"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4</w:t>
            </w:r>
          </w:p>
        </w:tc>
        <w:tc>
          <w:tcPr>
            <w:tcW w:w="2364" w:type="dxa"/>
            <w:tcBorders>
              <w:top w:val="single" w:sz="4" w:space="0" w:color="auto"/>
              <w:left w:val="double" w:sz="4" w:space="0" w:color="auto"/>
              <w:bottom w:val="single" w:sz="4" w:space="0" w:color="auto"/>
              <w:right w:val="double" w:sz="4" w:space="0" w:color="auto"/>
            </w:tcBorders>
            <w:shd w:val="clear" w:color="auto" w:fill="auto"/>
            <w:vAlign w:val="center"/>
            <w:hideMark/>
          </w:tcPr>
          <w:p w14:paraId="59C995D5"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b/>
                <w:bCs/>
                <w:kern w:val="2"/>
                <w:sz w:val="18"/>
                <w:szCs w:val="18"/>
              </w:rPr>
              <w:t>13.530</w:t>
            </w:r>
          </w:p>
        </w:tc>
        <w:tc>
          <w:tcPr>
            <w:tcW w:w="2159" w:type="dxa"/>
            <w:tcBorders>
              <w:top w:val="single" w:sz="4" w:space="0" w:color="7F7F7F"/>
              <w:left w:val="double" w:sz="4" w:space="0" w:color="auto"/>
              <w:bottom w:val="single" w:sz="4" w:space="0" w:color="7F7F7F"/>
            </w:tcBorders>
            <w:shd w:val="clear" w:color="auto" w:fill="auto"/>
            <w:vAlign w:val="center"/>
            <w:hideMark/>
          </w:tcPr>
          <w:p w14:paraId="2585F056"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24</w:t>
            </w:r>
          </w:p>
        </w:tc>
      </w:tr>
      <w:tr w:rsidR="00471483" w:rsidRPr="00471483" w14:paraId="693B889E" w14:textId="77777777" w:rsidTr="00471483">
        <w:trPr>
          <w:trHeight w:val="251"/>
        </w:trPr>
        <w:tc>
          <w:tcPr>
            <w:tcW w:w="1488" w:type="dxa"/>
            <w:shd w:val="clear" w:color="auto" w:fill="auto"/>
            <w:vAlign w:val="center"/>
            <w:hideMark/>
          </w:tcPr>
          <w:p w14:paraId="29D77E15" w14:textId="77777777" w:rsidR="007906D0" w:rsidRPr="00471483" w:rsidRDefault="007906D0" w:rsidP="00471483">
            <w:pPr>
              <w:ind w:left="60" w:right="60"/>
              <w:jc w:val="center"/>
              <w:textAlignment w:val="baseline"/>
              <w:rPr>
                <w:rFonts w:ascii="Arial" w:eastAsia="Times New Roman" w:hAnsi="Arial" w:cs="Arial"/>
                <w:b/>
                <w:bCs/>
                <w:kern w:val="2"/>
                <w:sz w:val="18"/>
                <w:szCs w:val="18"/>
              </w:rPr>
            </w:pPr>
            <w:r w:rsidRPr="00471483">
              <w:rPr>
                <w:rFonts w:ascii="Arial" w:eastAsia="Times New Roman" w:hAnsi="Arial" w:cs="Arial"/>
                <w:b/>
                <w:bCs/>
                <w:kern w:val="2"/>
                <w:sz w:val="18"/>
                <w:szCs w:val="18"/>
              </w:rPr>
              <w:t>23</w:t>
            </w:r>
          </w:p>
        </w:tc>
        <w:tc>
          <w:tcPr>
            <w:tcW w:w="1926" w:type="dxa"/>
            <w:shd w:val="clear" w:color="auto" w:fill="auto"/>
            <w:vAlign w:val="center"/>
            <w:hideMark/>
          </w:tcPr>
          <w:p w14:paraId="4B0CC611"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6</w:t>
            </w:r>
          </w:p>
        </w:tc>
        <w:tc>
          <w:tcPr>
            <w:tcW w:w="1926" w:type="dxa"/>
            <w:tcBorders>
              <w:right w:val="double" w:sz="4" w:space="0" w:color="auto"/>
            </w:tcBorders>
            <w:shd w:val="clear" w:color="auto" w:fill="auto"/>
            <w:vAlign w:val="center"/>
            <w:hideMark/>
          </w:tcPr>
          <w:p w14:paraId="44175D3B"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15</w:t>
            </w:r>
          </w:p>
        </w:tc>
        <w:tc>
          <w:tcPr>
            <w:tcW w:w="2364" w:type="dxa"/>
            <w:tcBorders>
              <w:top w:val="single" w:sz="4" w:space="0" w:color="auto"/>
              <w:left w:val="double" w:sz="4" w:space="0" w:color="auto"/>
              <w:bottom w:val="single" w:sz="4" w:space="0" w:color="auto"/>
              <w:right w:val="double" w:sz="4" w:space="0" w:color="auto"/>
            </w:tcBorders>
            <w:shd w:val="clear" w:color="auto" w:fill="auto"/>
            <w:vAlign w:val="center"/>
            <w:hideMark/>
          </w:tcPr>
          <w:p w14:paraId="4F607F38"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b/>
                <w:bCs/>
                <w:kern w:val="2"/>
                <w:sz w:val="18"/>
                <w:szCs w:val="18"/>
              </w:rPr>
              <w:t>16.881</w:t>
            </w:r>
          </w:p>
        </w:tc>
        <w:tc>
          <w:tcPr>
            <w:tcW w:w="2159" w:type="dxa"/>
            <w:tcBorders>
              <w:left w:val="double" w:sz="4" w:space="0" w:color="auto"/>
            </w:tcBorders>
            <w:shd w:val="clear" w:color="auto" w:fill="auto"/>
            <w:vAlign w:val="center"/>
            <w:hideMark/>
          </w:tcPr>
          <w:p w14:paraId="43FD5891"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24</w:t>
            </w:r>
          </w:p>
        </w:tc>
      </w:tr>
      <w:tr w:rsidR="00471483" w:rsidRPr="00471483" w14:paraId="052BF91C" w14:textId="77777777" w:rsidTr="00471483">
        <w:trPr>
          <w:trHeight w:val="263"/>
        </w:trPr>
        <w:tc>
          <w:tcPr>
            <w:tcW w:w="1488" w:type="dxa"/>
            <w:tcBorders>
              <w:top w:val="single" w:sz="4" w:space="0" w:color="7F7F7F"/>
              <w:bottom w:val="single" w:sz="4" w:space="0" w:color="7F7F7F"/>
            </w:tcBorders>
            <w:shd w:val="clear" w:color="auto" w:fill="auto"/>
            <w:vAlign w:val="center"/>
            <w:hideMark/>
          </w:tcPr>
          <w:p w14:paraId="2BF4FC5A" w14:textId="77777777" w:rsidR="007906D0" w:rsidRPr="00471483" w:rsidRDefault="007906D0" w:rsidP="00471483">
            <w:pPr>
              <w:ind w:left="60" w:right="60"/>
              <w:jc w:val="center"/>
              <w:textAlignment w:val="baseline"/>
              <w:rPr>
                <w:rFonts w:ascii="Arial" w:eastAsia="Times New Roman" w:hAnsi="Arial" w:cs="Arial"/>
                <w:b/>
                <w:bCs/>
                <w:kern w:val="2"/>
                <w:sz w:val="18"/>
                <w:szCs w:val="18"/>
              </w:rPr>
            </w:pPr>
            <w:r w:rsidRPr="00471483">
              <w:rPr>
                <w:rFonts w:ascii="Arial" w:eastAsia="Times New Roman" w:hAnsi="Arial" w:cs="Arial"/>
                <w:b/>
                <w:bCs/>
                <w:kern w:val="2"/>
                <w:sz w:val="18"/>
                <w:szCs w:val="18"/>
              </w:rPr>
              <w:t>24</w:t>
            </w:r>
          </w:p>
        </w:tc>
        <w:tc>
          <w:tcPr>
            <w:tcW w:w="1926" w:type="dxa"/>
            <w:tcBorders>
              <w:top w:val="single" w:sz="4" w:space="0" w:color="7F7F7F"/>
              <w:bottom w:val="single" w:sz="4" w:space="0" w:color="7F7F7F"/>
            </w:tcBorders>
            <w:shd w:val="clear" w:color="auto" w:fill="auto"/>
            <w:vAlign w:val="center"/>
            <w:hideMark/>
          </w:tcPr>
          <w:p w14:paraId="7081D233"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1</w:t>
            </w:r>
          </w:p>
        </w:tc>
        <w:tc>
          <w:tcPr>
            <w:tcW w:w="1926" w:type="dxa"/>
            <w:tcBorders>
              <w:top w:val="single" w:sz="4" w:space="0" w:color="7F7F7F"/>
              <w:bottom w:val="single" w:sz="4" w:space="0" w:color="7F7F7F"/>
              <w:right w:val="double" w:sz="4" w:space="0" w:color="auto"/>
            </w:tcBorders>
            <w:shd w:val="clear" w:color="auto" w:fill="auto"/>
            <w:vAlign w:val="center"/>
            <w:hideMark/>
          </w:tcPr>
          <w:p w14:paraId="3F69CFA3"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6</w:t>
            </w:r>
          </w:p>
        </w:tc>
        <w:tc>
          <w:tcPr>
            <w:tcW w:w="2364" w:type="dxa"/>
            <w:tcBorders>
              <w:top w:val="single" w:sz="4" w:space="0" w:color="auto"/>
              <w:left w:val="double" w:sz="4" w:space="0" w:color="auto"/>
              <w:bottom w:val="single" w:sz="4" w:space="0" w:color="auto"/>
              <w:right w:val="double" w:sz="4" w:space="0" w:color="auto"/>
            </w:tcBorders>
            <w:shd w:val="clear" w:color="auto" w:fill="auto"/>
            <w:vAlign w:val="center"/>
            <w:hideMark/>
          </w:tcPr>
          <w:p w14:paraId="594F6346"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b/>
                <w:bCs/>
                <w:kern w:val="2"/>
                <w:sz w:val="18"/>
                <w:szCs w:val="18"/>
              </w:rPr>
              <w:t>22.703</w:t>
            </w:r>
          </w:p>
        </w:tc>
        <w:tc>
          <w:tcPr>
            <w:tcW w:w="2159" w:type="dxa"/>
            <w:tcBorders>
              <w:top w:val="single" w:sz="4" w:space="0" w:color="7F7F7F"/>
              <w:left w:val="double" w:sz="4" w:space="0" w:color="auto"/>
              <w:bottom w:val="single" w:sz="4" w:space="0" w:color="7F7F7F"/>
            </w:tcBorders>
            <w:shd w:val="clear" w:color="auto" w:fill="auto"/>
            <w:vAlign w:val="center"/>
            <w:hideMark/>
          </w:tcPr>
          <w:p w14:paraId="55A06412"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26</w:t>
            </w:r>
          </w:p>
        </w:tc>
      </w:tr>
      <w:tr w:rsidR="00471483" w:rsidRPr="00471483" w14:paraId="19007120" w14:textId="77777777" w:rsidTr="00471483">
        <w:trPr>
          <w:trHeight w:val="251"/>
        </w:trPr>
        <w:tc>
          <w:tcPr>
            <w:tcW w:w="1488" w:type="dxa"/>
            <w:shd w:val="clear" w:color="auto" w:fill="auto"/>
            <w:vAlign w:val="center"/>
            <w:hideMark/>
          </w:tcPr>
          <w:p w14:paraId="0300503D" w14:textId="77777777" w:rsidR="007906D0" w:rsidRPr="00471483" w:rsidRDefault="007906D0" w:rsidP="00471483">
            <w:pPr>
              <w:ind w:left="60" w:right="60"/>
              <w:jc w:val="center"/>
              <w:textAlignment w:val="baseline"/>
              <w:rPr>
                <w:rFonts w:ascii="Arial" w:eastAsia="Times New Roman" w:hAnsi="Arial" w:cs="Arial"/>
                <w:b/>
                <w:bCs/>
                <w:kern w:val="2"/>
                <w:sz w:val="18"/>
                <w:szCs w:val="18"/>
              </w:rPr>
            </w:pPr>
            <w:r w:rsidRPr="00471483">
              <w:rPr>
                <w:rFonts w:ascii="Arial" w:eastAsia="Times New Roman" w:hAnsi="Arial" w:cs="Arial"/>
                <w:b/>
                <w:bCs/>
                <w:kern w:val="2"/>
                <w:sz w:val="18"/>
                <w:szCs w:val="18"/>
              </w:rPr>
              <w:t>25</w:t>
            </w:r>
          </w:p>
        </w:tc>
        <w:tc>
          <w:tcPr>
            <w:tcW w:w="1926" w:type="dxa"/>
            <w:shd w:val="clear" w:color="auto" w:fill="auto"/>
            <w:vAlign w:val="center"/>
            <w:hideMark/>
          </w:tcPr>
          <w:p w14:paraId="3E12D5F4"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3</w:t>
            </w:r>
          </w:p>
        </w:tc>
        <w:tc>
          <w:tcPr>
            <w:tcW w:w="1926" w:type="dxa"/>
            <w:tcBorders>
              <w:right w:val="double" w:sz="4" w:space="0" w:color="auto"/>
            </w:tcBorders>
            <w:shd w:val="clear" w:color="auto" w:fill="auto"/>
            <w:vAlign w:val="center"/>
            <w:hideMark/>
          </w:tcPr>
          <w:p w14:paraId="73A6C868"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19</w:t>
            </w:r>
          </w:p>
        </w:tc>
        <w:tc>
          <w:tcPr>
            <w:tcW w:w="2364" w:type="dxa"/>
            <w:tcBorders>
              <w:top w:val="single" w:sz="4" w:space="0" w:color="auto"/>
              <w:left w:val="double" w:sz="4" w:space="0" w:color="auto"/>
              <w:bottom w:val="single" w:sz="4" w:space="0" w:color="auto"/>
              <w:right w:val="double" w:sz="4" w:space="0" w:color="auto"/>
            </w:tcBorders>
            <w:shd w:val="clear" w:color="auto" w:fill="auto"/>
            <w:vAlign w:val="center"/>
            <w:hideMark/>
          </w:tcPr>
          <w:p w14:paraId="60633BA9"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b/>
                <w:bCs/>
                <w:kern w:val="2"/>
                <w:sz w:val="18"/>
                <w:szCs w:val="18"/>
              </w:rPr>
              <w:t>31.743</w:t>
            </w:r>
          </w:p>
        </w:tc>
        <w:tc>
          <w:tcPr>
            <w:tcW w:w="2159" w:type="dxa"/>
            <w:tcBorders>
              <w:left w:val="double" w:sz="4" w:space="0" w:color="auto"/>
            </w:tcBorders>
            <w:shd w:val="clear" w:color="auto" w:fill="auto"/>
            <w:vAlign w:val="center"/>
            <w:hideMark/>
          </w:tcPr>
          <w:p w14:paraId="59F4A23A"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26</w:t>
            </w:r>
          </w:p>
        </w:tc>
      </w:tr>
      <w:tr w:rsidR="00471483" w:rsidRPr="00471483" w14:paraId="661D8C2D" w14:textId="77777777" w:rsidTr="00471483">
        <w:trPr>
          <w:trHeight w:val="251"/>
        </w:trPr>
        <w:tc>
          <w:tcPr>
            <w:tcW w:w="1488" w:type="dxa"/>
            <w:tcBorders>
              <w:top w:val="single" w:sz="4" w:space="0" w:color="7F7F7F"/>
              <w:bottom w:val="single" w:sz="4" w:space="0" w:color="7F7F7F"/>
            </w:tcBorders>
            <w:shd w:val="clear" w:color="auto" w:fill="auto"/>
            <w:vAlign w:val="center"/>
            <w:hideMark/>
          </w:tcPr>
          <w:p w14:paraId="41009B3D" w14:textId="77777777" w:rsidR="007906D0" w:rsidRPr="00471483" w:rsidRDefault="007906D0" w:rsidP="00471483">
            <w:pPr>
              <w:ind w:left="60" w:right="60"/>
              <w:jc w:val="center"/>
              <w:textAlignment w:val="baseline"/>
              <w:rPr>
                <w:rFonts w:ascii="Arial" w:eastAsia="Times New Roman" w:hAnsi="Arial" w:cs="Arial"/>
                <w:b/>
                <w:bCs/>
                <w:kern w:val="2"/>
                <w:sz w:val="18"/>
                <w:szCs w:val="18"/>
              </w:rPr>
            </w:pPr>
            <w:r w:rsidRPr="00471483">
              <w:rPr>
                <w:rFonts w:ascii="Arial" w:eastAsia="Times New Roman" w:hAnsi="Arial" w:cs="Arial"/>
                <w:b/>
                <w:bCs/>
                <w:kern w:val="2"/>
                <w:sz w:val="18"/>
                <w:szCs w:val="18"/>
              </w:rPr>
              <w:t>26</w:t>
            </w:r>
          </w:p>
        </w:tc>
        <w:tc>
          <w:tcPr>
            <w:tcW w:w="1926" w:type="dxa"/>
            <w:tcBorders>
              <w:top w:val="single" w:sz="4" w:space="0" w:color="7F7F7F"/>
              <w:bottom w:val="single" w:sz="4" w:space="0" w:color="7F7F7F"/>
            </w:tcBorders>
            <w:shd w:val="clear" w:color="auto" w:fill="auto"/>
            <w:vAlign w:val="center"/>
            <w:hideMark/>
          </w:tcPr>
          <w:p w14:paraId="4F5038FE"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1</w:t>
            </w:r>
          </w:p>
        </w:tc>
        <w:tc>
          <w:tcPr>
            <w:tcW w:w="1926" w:type="dxa"/>
            <w:tcBorders>
              <w:top w:val="single" w:sz="4" w:space="0" w:color="7F7F7F"/>
              <w:bottom w:val="single" w:sz="4" w:space="0" w:color="7F7F7F"/>
              <w:right w:val="double" w:sz="4" w:space="0" w:color="auto"/>
            </w:tcBorders>
            <w:shd w:val="clear" w:color="auto" w:fill="auto"/>
            <w:vAlign w:val="center"/>
            <w:hideMark/>
          </w:tcPr>
          <w:p w14:paraId="53A74D33"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3</w:t>
            </w:r>
          </w:p>
        </w:tc>
        <w:tc>
          <w:tcPr>
            <w:tcW w:w="2364" w:type="dxa"/>
            <w:tcBorders>
              <w:top w:val="single" w:sz="4" w:space="0" w:color="auto"/>
              <w:left w:val="double" w:sz="4" w:space="0" w:color="auto"/>
              <w:bottom w:val="double" w:sz="4" w:space="0" w:color="auto"/>
              <w:right w:val="double" w:sz="4" w:space="0" w:color="auto"/>
            </w:tcBorders>
            <w:shd w:val="clear" w:color="auto" w:fill="auto"/>
            <w:vAlign w:val="center"/>
            <w:hideMark/>
          </w:tcPr>
          <w:p w14:paraId="54499111"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b/>
                <w:bCs/>
                <w:kern w:val="2"/>
                <w:sz w:val="18"/>
                <w:szCs w:val="18"/>
              </w:rPr>
              <w:t>45.452</w:t>
            </w:r>
          </w:p>
        </w:tc>
        <w:tc>
          <w:tcPr>
            <w:tcW w:w="2159" w:type="dxa"/>
            <w:tcBorders>
              <w:top w:val="single" w:sz="4" w:space="0" w:color="7F7F7F"/>
              <w:left w:val="double" w:sz="4" w:space="0" w:color="auto"/>
              <w:bottom w:val="single" w:sz="4" w:space="0" w:color="7F7F7F"/>
            </w:tcBorders>
            <w:shd w:val="clear" w:color="auto" w:fill="auto"/>
            <w:vAlign w:val="center"/>
            <w:hideMark/>
          </w:tcPr>
          <w:p w14:paraId="254F1677" w14:textId="77777777" w:rsidR="007906D0" w:rsidRPr="00471483" w:rsidRDefault="007906D0" w:rsidP="00471483">
            <w:pPr>
              <w:ind w:left="60" w:right="60"/>
              <w:jc w:val="center"/>
              <w:textAlignment w:val="baseline"/>
              <w:rPr>
                <w:rFonts w:ascii="Arial" w:eastAsia="Times New Roman" w:hAnsi="Arial" w:cs="Arial"/>
                <w:kern w:val="2"/>
                <w:sz w:val="18"/>
                <w:szCs w:val="18"/>
              </w:rPr>
            </w:pPr>
            <w:r w:rsidRPr="00471483">
              <w:rPr>
                <w:rFonts w:ascii="Arial" w:eastAsia="Times New Roman" w:hAnsi="Arial" w:cs="Arial"/>
                <w:kern w:val="2"/>
                <w:sz w:val="18"/>
                <w:szCs w:val="18"/>
              </w:rPr>
              <w:t>0</w:t>
            </w:r>
          </w:p>
        </w:tc>
      </w:tr>
    </w:tbl>
    <w:p w14:paraId="169775FD" w14:textId="77777777" w:rsidR="007906D0" w:rsidRPr="009F1F75" w:rsidRDefault="007906D0" w:rsidP="007906D0">
      <w:pPr>
        <w:shd w:val="clear" w:color="auto" w:fill="FFFFFF"/>
        <w:rPr>
          <w:rFonts w:ascii="Arial" w:eastAsia="Times New Roman" w:hAnsi="Arial" w:cs="Arial"/>
          <w:sz w:val="18"/>
          <w:szCs w:val="20"/>
        </w:rPr>
      </w:pPr>
      <w:r w:rsidRPr="009F1F75">
        <w:rPr>
          <w:rFonts w:ascii="Arial" w:eastAsia="Times New Roman" w:hAnsi="Arial" w:cs="Arial"/>
          <w:sz w:val="18"/>
          <w:szCs w:val="20"/>
        </w:rPr>
        <w:t>Source: Authors’ calculation using statistical software IBM SPSS 26.0</w:t>
      </w:r>
    </w:p>
    <w:p w14:paraId="4B962401" w14:textId="77777777" w:rsidR="007906D0" w:rsidRPr="009F1F75" w:rsidRDefault="007906D0" w:rsidP="007906D0">
      <w:pPr>
        <w:shd w:val="clear" w:color="auto" w:fill="FFFFFF"/>
        <w:spacing w:before="100" w:beforeAutospacing="1" w:after="100" w:afterAutospacing="1"/>
        <w:jc w:val="both"/>
        <w:rPr>
          <w:rFonts w:ascii="Arial" w:eastAsia="Times New Roman" w:hAnsi="Arial" w:cs="Arial"/>
          <w:szCs w:val="20"/>
        </w:rPr>
      </w:pPr>
      <w:r w:rsidRPr="009F1F75">
        <w:rPr>
          <w:rFonts w:ascii="Arial" w:eastAsia="Times New Roman" w:hAnsi="Arial" w:cs="Arial"/>
          <w:szCs w:val="20"/>
        </w:rPr>
        <w:t xml:space="preserve">The Ward method applied in the agglomerative process is based on the analysis of variance to estimate the distance between clusters and thus differs from others. The Ward procedure means that for each cluster, the average value for each variable (cluster center) is calculated, and then the Euclidean distance square from the cluster center is calculated for each object, after which the distance for the objects is summed (Fanelli, 2018). In this way, cluster analysis attempts to find similarities between the analyzed objects, which in this case are represented in the form of EU member states (Simović et al., 2020). The last significant changes in agglomeration schedule stages are depicted in Figure 2. </w:t>
      </w:r>
    </w:p>
    <w:p w14:paraId="59F023F0" w14:textId="4A4809FE" w:rsidR="007906D0" w:rsidRPr="009F1F75" w:rsidRDefault="00CD06E1" w:rsidP="007906D0">
      <w:pPr>
        <w:jc w:val="center"/>
        <w:rPr>
          <w:rFonts w:ascii="Arial" w:eastAsia="Times New Roman" w:hAnsi="Arial" w:cs="Arial"/>
          <w:sz w:val="24"/>
          <w:szCs w:val="24"/>
        </w:rPr>
      </w:pPr>
      <w:r w:rsidRPr="00471483">
        <w:rPr>
          <w:rFonts w:ascii="Arial" w:eastAsia="Times New Roman" w:hAnsi="Arial" w:cs="Arial"/>
          <w:noProof/>
          <w:sz w:val="24"/>
          <w:szCs w:val="24"/>
        </w:rPr>
        <w:drawing>
          <wp:inline distT="0" distB="0" distL="0" distR="0" wp14:anchorId="3CD069D3" wp14:editId="5321946D">
            <wp:extent cx="4660900" cy="19240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2322" t="12515" r="-2" b="4634"/>
                    <a:stretch>
                      <a:fillRect/>
                    </a:stretch>
                  </pic:blipFill>
                  <pic:spPr bwMode="auto">
                    <a:xfrm>
                      <a:off x="0" y="0"/>
                      <a:ext cx="4660900" cy="1924050"/>
                    </a:xfrm>
                    <a:prstGeom prst="rect">
                      <a:avLst/>
                    </a:prstGeom>
                    <a:noFill/>
                    <a:ln>
                      <a:noFill/>
                    </a:ln>
                  </pic:spPr>
                </pic:pic>
              </a:graphicData>
            </a:graphic>
          </wp:inline>
        </w:drawing>
      </w:r>
    </w:p>
    <w:p w14:paraId="6C9F8567" w14:textId="77777777" w:rsidR="007906D0" w:rsidRPr="009F1F75" w:rsidRDefault="007906D0" w:rsidP="007906D0">
      <w:pPr>
        <w:shd w:val="clear" w:color="auto" w:fill="FFFFFF"/>
        <w:spacing w:before="100" w:beforeAutospacing="1"/>
        <w:rPr>
          <w:rFonts w:ascii="Arial" w:eastAsia="Times New Roman" w:hAnsi="Arial" w:cs="Arial"/>
          <w:szCs w:val="20"/>
        </w:rPr>
      </w:pPr>
      <w:r w:rsidRPr="009F1F75">
        <w:rPr>
          <w:rFonts w:ascii="Arial" w:eastAsia="Times New Roman" w:hAnsi="Arial" w:cs="Arial"/>
          <w:szCs w:val="20"/>
        </w:rPr>
        <w:t>Figure 2. The last six changes in agglomeration schedule</w:t>
      </w:r>
    </w:p>
    <w:p w14:paraId="3ECDAABE" w14:textId="77777777" w:rsidR="007906D0" w:rsidRPr="009F1F75" w:rsidRDefault="007906D0" w:rsidP="007906D0">
      <w:pPr>
        <w:rPr>
          <w:rFonts w:ascii="Arial" w:eastAsia="Times New Roman" w:hAnsi="Arial" w:cs="Arial"/>
          <w:sz w:val="18"/>
          <w:szCs w:val="24"/>
        </w:rPr>
      </w:pPr>
      <w:r w:rsidRPr="009F1F75">
        <w:rPr>
          <w:rFonts w:ascii="Arial" w:eastAsia="Times New Roman" w:hAnsi="Arial" w:cs="Arial"/>
          <w:sz w:val="18"/>
          <w:szCs w:val="24"/>
        </w:rPr>
        <w:t>Source: Authors’ elaboration based on agglomeration procedure results</w:t>
      </w:r>
    </w:p>
    <w:p w14:paraId="731C0B45" w14:textId="77777777" w:rsidR="007906D0" w:rsidRPr="009F1F75" w:rsidRDefault="007906D0" w:rsidP="007906D0">
      <w:pPr>
        <w:tabs>
          <w:tab w:val="left" w:pos="930"/>
        </w:tabs>
        <w:rPr>
          <w:rFonts w:ascii="Arial" w:eastAsia="Times New Roman" w:hAnsi="Arial" w:cs="Arial"/>
          <w:sz w:val="24"/>
          <w:szCs w:val="24"/>
        </w:rPr>
      </w:pPr>
    </w:p>
    <w:p w14:paraId="15E94483" w14:textId="77777777" w:rsidR="007906D0" w:rsidRPr="009F1F75" w:rsidRDefault="007906D0" w:rsidP="007906D0">
      <w:pPr>
        <w:tabs>
          <w:tab w:val="left" w:pos="930"/>
        </w:tabs>
        <w:jc w:val="both"/>
        <w:rPr>
          <w:rFonts w:ascii="Arial" w:eastAsia="Times New Roman" w:hAnsi="Arial" w:cs="Arial"/>
          <w:sz w:val="28"/>
          <w:szCs w:val="24"/>
        </w:rPr>
      </w:pPr>
      <w:r w:rsidRPr="009F1F75">
        <w:rPr>
          <w:rFonts w:ascii="Arial" w:eastAsia="Times New Roman" w:hAnsi="Arial" w:cs="Arial"/>
          <w:szCs w:val="20"/>
          <w:lang w:val="en-GB"/>
        </w:rPr>
        <w:t xml:space="preserve">The changes that occurred in the agglomeration arrangement after the class </w:t>
      </w:r>
      <w:proofErr w:type="spellStart"/>
      <w:r w:rsidRPr="009F1F75">
        <w:rPr>
          <w:rFonts w:ascii="Arial" w:eastAsia="Times New Roman" w:hAnsi="Arial" w:cs="Arial"/>
          <w:szCs w:val="20"/>
          <w:lang w:val="en-GB"/>
        </w:rPr>
        <w:t>recomposition</w:t>
      </w:r>
      <w:proofErr w:type="spellEnd"/>
      <w:r w:rsidRPr="009F1F75">
        <w:rPr>
          <w:rFonts w:ascii="Arial" w:eastAsia="Times New Roman" w:hAnsi="Arial" w:cs="Arial"/>
          <w:szCs w:val="20"/>
          <w:lang w:val="en-GB"/>
        </w:rPr>
        <w:t xml:space="preserve"> could be followed through a </w:t>
      </w:r>
      <w:proofErr w:type="spellStart"/>
      <w:r w:rsidRPr="009F1F75">
        <w:rPr>
          <w:rFonts w:ascii="Arial" w:eastAsia="Times New Roman" w:hAnsi="Arial" w:cs="Arial"/>
          <w:szCs w:val="20"/>
          <w:lang w:val="en-GB"/>
        </w:rPr>
        <w:t>dendogram</w:t>
      </w:r>
      <w:proofErr w:type="spellEnd"/>
      <w:r w:rsidRPr="009F1F75">
        <w:rPr>
          <w:rFonts w:ascii="Arial" w:eastAsia="Times New Roman" w:hAnsi="Arial" w:cs="Arial"/>
          <w:szCs w:val="20"/>
          <w:lang w:val="en-GB"/>
        </w:rPr>
        <w:t xml:space="preserve"> - the result of cluster analysis in the form of a tree representing the number of clusters on its lower "branches". In this way, it was possible to see how the country moved from one price group of public utility systems to another. The number of horizontal lines at lower tree heights intersected by a vertical line (dashed line) closer to the initial </w:t>
      </w:r>
      <w:proofErr w:type="spellStart"/>
      <w:r w:rsidRPr="009F1F75">
        <w:rPr>
          <w:rFonts w:ascii="Arial" w:eastAsia="Times New Roman" w:hAnsi="Arial" w:cs="Arial"/>
          <w:szCs w:val="20"/>
          <w:lang w:val="en-GB"/>
        </w:rPr>
        <w:t>dendogram</w:t>
      </w:r>
      <w:proofErr w:type="spellEnd"/>
      <w:r w:rsidRPr="009F1F75">
        <w:rPr>
          <w:rFonts w:ascii="Arial" w:eastAsia="Times New Roman" w:hAnsi="Arial" w:cs="Arial"/>
          <w:szCs w:val="20"/>
          <w:lang w:val="en-GB"/>
        </w:rPr>
        <w:t xml:space="preserve"> shows the actual number of clusters. A </w:t>
      </w:r>
      <w:proofErr w:type="spellStart"/>
      <w:r w:rsidRPr="009F1F75">
        <w:rPr>
          <w:rFonts w:ascii="Arial" w:eastAsia="Times New Roman" w:hAnsi="Arial" w:cs="Arial"/>
          <w:szCs w:val="20"/>
          <w:lang w:val="en-GB"/>
        </w:rPr>
        <w:t>dendogram</w:t>
      </w:r>
      <w:proofErr w:type="spellEnd"/>
      <w:r w:rsidRPr="009F1F75">
        <w:rPr>
          <w:rFonts w:ascii="Arial" w:eastAsia="Times New Roman" w:hAnsi="Arial" w:cs="Arial"/>
          <w:szCs w:val="20"/>
          <w:lang w:val="en-GB"/>
        </w:rPr>
        <w:t xml:space="preserve"> divides objects into a certain number of groups in vertical sections at a certain height, with one possible solution for grouping (Figure 3).</w:t>
      </w:r>
    </w:p>
    <w:p w14:paraId="30F6258A" w14:textId="337E58AC" w:rsidR="007906D0" w:rsidRPr="009F1F75" w:rsidRDefault="00CD06E1" w:rsidP="007906D0">
      <w:pPr>
        <w:shd w:val="clear" w:color="auto" w:fill="FFFFFF"/>
        <w:spacing w:before="100" w:beforeAutospacing="1" w:after="100" w:afterAutospacing="1"/>
        <w:jc w:val="center"/>
        <w:rPr>
          <w:rFonts w:ascii="Arial" w:eastAsia="Times New Roman" w:hAnsi="Arial" w:cs="Arial"/>
          <w:sz w:val="20"/>
          <w:szCs w:val="20"/>
          <w:lang w:val="en-GB"/>
        </w:rPr>
      </w:pPr>
      <w:r w:rsidRPr="00471483">
        <w:rPr>
          <w:rFonts w:ascii="Arial" w:eastAsia="Times New Roman" w:hAnsi="Arial" w:cs="Arial"/>
          <w:noProof/>
          <w:color w:val="000000"/>
          <w:sz w:val="24"/>
          <w:szCs w:val="24"/>
          <w:shd w:val="clear" w:color="auto" w:fill="FFFFFF"/>
        </w:rPr>
        <w:lastRenderedPageBreak/>
        <w:drawing>
          <wp:inline distT="0" distB="0" distL="0" distR="0" wp14:anchorId="227894A7" wp14:editId="105BF979">
            <wp:extent cx="5181600" cy="43434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t="5579"/>
                    <a:stretch>
                      <a:fillRect/>
                    </a:stretch>
                  </pic:blipFill>
                  <pic:spPr bwMode="auto">
                    <a:xfrm>
                      <a:off x="0" y="0"/>
                      <a:ext cx="5181600" cy="4343400"/>
                    </a:xfrm>
                    <a:prstGeom prst="rect">
                      <a:avLst/>
                    </a:prstGeom>
                    <a:noFill/>
                    <a:ln>
                      <a:noFill/>
                    </a:ln>
                  </pic:spPr>
                </pic:pic>
              </a:graphicData>
            </a:graphic>
          </wp:inline>
        </w:drawing>
      </w:r>
    </w:p>
    <w:p w14:paraId="6E0AF1B4" w14:textId="77777777" w:rsidR="007906D0" w:rsidRPr="009F1F75" w:rsidRDefault="007906D0" w:rsidP="007906D0">
      <w:pPr>
        <w:shd w:val="clear" w:color="auto" w:fill="FFFFFF"/>
        <w:rPr>
          <w:rFonts w:ascii="Arial" w:eastAsia="Times New Roman" w:hAnsi="Arial" w:cs="Arial"/>
          <w:bCs/>
          <w:sz w:val="20"/>
          <w:szCs w:val="18"/>
        </w:rPr>
      </w:pPr>
      <w:r w:rsidRPr="009F1F75">
        <w:rPr>
          <w:rFonts w:ascii="Arial" w:eastAsia="Times New Roman" w:hAnsi="Arial" w:cs="Arial"/>
          <w:szCs w:val="20"/>
          <w:lang w:val="en-GB"/>
        </w:rPr>
        <w:t xml:space="preserve">Figure 3. </w:t>
      </w:r>
      <w:proofErr w:type="spellStart"/>
      <w:r w:rsidRPr="009F1F75">
        <w:rPr>
          <w:rFonts w:ascii="Arial" w:eastAsia="Times New Roman" w:hAnsi="Arial" w:cs="Arial"/>
          <w:szCs w:val="20"/>
          <w:lang w:val="en-GB"/>
        </w:rPr>
        <w:t>Dendogram</w:t>
      </w:r>
      <w:proofErr w:type="spellEnd"/>
      <w:r w:rsidRPr="009F1F75">
        <w:rPr>
          <w:rFonts w:ascii="Arial" w:eastAsia="Times New Roman" w:hAnsi="Arial" w:cs="Arial"/>
          <w:szCs w:val="20"/>
          <w:lang w:val="en-GB"/>
        </w:rPr>
        <w:t xml:space="preserve"> using Ward’s linkage</w:t>
      </w:r>
      <w:r w:rsidRPr="009F1F75">
        <w:rPr>
          <w:rFonts w:ascii="Arial" w:eastAsia="Times New Roman" w:hAnsi="Arial" w:cs="Arial"/>
          <w:bCs/>
          <w:sz w:val="20"/>
          <w:szCs w:val="18"/>
        </w:rPr>
        <w:t xml:space="preserve"> </w:t>
      </w:r>
    </w:p>
    <w:p w14:paraId="34E766AD" w14:textId="77777777" w:rsidR="007906D0" w:rsidRPr="009F1F75" w:rsidRDefault="007906D0" w:rsidP="007906D0">
      <w:pPr>
        <w:shd w:val="clear" w:color="auto" w:fill="FFFFFF"/>
        <w:rPr>
          <w:rFonts w:ascii="Arial" w:eastAsia="Times New Roman" w:hAnsi="Arial" w:cs="Arial"/>
          <w:bCs/>
          <w:sz w:val="18"/>
          <w:szCs w:val="18"/>
        </w:rPr>
      </w:pPr>
      <w:r w:rsidRPr="009F1F75">
        <w:rPr>
          <w:rFonts w:ascii="Arial" w:eastAsia="Times New Roman" w:hAnsi="Arial" w:cs="Arial"/>
          <w:bCs/>
          <w:sz w:val="18"/>
          <w:szCs w:val="18"/>
        </w:rPr>
        <w:t xml:space="preserve">Source: </w:t>
      </w:r>
      <w:r w:rsidRPr="009F1F75">
        <w:rPr>
          <w:rFonts w:ascii="Arial" w:eastAsia="Times New Roman" w:hAnsi="Arial" w:cs="Arial"/>
          <w:sz w:val="18"/>
          <w:szCs w:val="18"/>
        </w:rPr>
        <w:t>Authors’ elaboration based on agglomeration procedure results</w:t>
      </w:r>
    </w:p>
    <w:p w14:paraId="2C5ABE0F" w14:textId="77777777" w:rsidR="00D8451C" w:rsidRPr="009F1F75" w:rsidRDefault="00D8451C" w:rsidP="007906D0">
      <w:pPr>
        <w:jc w:val="both"/>
        <w:rPr>
          <w:rFonts w:ascii="Arial" w:hAnsi="Arial" w:cs="Arial"/>
          <w:lang w:val="en-GB"/>
        </w:rPr>
      </w:pPr>
    </w:p>
    <w:p w14:paraId="303A1CAB" w14:textId="77777777" w:rsidR="00D8451C" w:rsidRPr="009F1F75" w:rsidRDefault="00D8451C" w:rsidP="00D8451C">
      <w:pPr>
        <w:jc w:val="both"/>
        <w:rPr>
          <w:rFonts w:ascii="Arial" w:hAnsi="Arial" w:cs="Arial"/>
          <w:b/>
          <w:lang w:val="en-GB"/>
        </w:rPr>
      </w:pPr>
      <w:r w:rsidRPr="009F1F75">
        <w:rPr>
          <w:rFonts w:ascii="Arial" w:hAnsi="Arial" w:cs="Arial"/>
          <w:b/>
          <w:lang w:val="en-GB"/>
        </w:rPr>
        <w:t>RESULTS AND DISCUSSION</w:t>
      </w:r>
    </w:p>
    <w:p w14:paraId="406A9015" w14:textId="77777777" w:rsidR="007906D0" w:rsidRPr="009F1F75" w:rsidRDefault="007906D0" w:rsidP="007906D0">
      <w:pPr>
        <w:shd w:val="clear" w:color="auto" w:fill="FFFFFF"/>
        <w:spacing w:before="100" w:beforeAutospacing="1" w:after="100" w:afterAutospacing="1"/>
        <w:jc w:val="both"/>
        <w:rPr>
          <w:rFonts w:ascii="Arial" w:eastAsia="Times New Roman" w:hAnsi="Arial" w:cs="Arial"/>
          <w:szCs w:val="20"/>
        </w:rPr>
      </w:pPr>
      <w:r w:rsidRPr="009F1F75">
        <w:rPr>
          <w:rFonts w:ascii="Arial" w:eastAsia="Times New Roman" w:hAnsi="Arial" w:cs="Arial"/>
          <w:szCs w:val="20"/>
        </w:rPr>
        <w:t xml:space="preserve">The hierarchical agglomerative approach as well as the descriptive statistics between existing clusters show that based on the analyzed indicators of the circular economy, six clusters of countries have been identified. Table 2 shows descriptive statistics for the analyzed indicators with their mean value within each cluster, where </w:t>
      </w:r>
      <w:proofErr w:type="gramStart"/>
      <w:r w:rsidRPr="009F1F75">
        <w:rPr>
          <w:rFonts w:ascii="Arial" w:eastAsia="Times New Roman" w:hAnsi="Arial" w:cs="Arial"/>
          <w:szCs w:val="20"/>
        </w:rPr>
        <w:t>it can be seen that cluster</w:t>
      </w:r>
      <w:proofErr w:type="gramEnd"/>
      <w:r w:rsidRPr="009F1F75">
        <w:rPr>
          <w:rFonts w:ascii="Arial" w:eastAsia="Times New Roman" w:hAnsi="Arial" w:cs="Arial"/>
          <w:szCs w:val="20"/>
        </w:rPr>
        <w:t xml:space="preserve"> number three is dominant in terms of indicators C4, C6, C7, and C8. Cluster </w:t>
      </w:r>
      <w:proofErr w:type="gramStart"/>
      <w:r w:rsidRPr="009F1F75">
        <w:rPr>
          <w:rFonts w:ascii="Arial" w:eastAsia="Times New Roman" w:hAnsi="Arial" w:cs="Arial"/>
          <w:szCs w:val="20"/>
        </w:rPr>
        <w:t>number has</w:t>
      </w:r>
      <w:proofErr w:type="gramEnd"/>
      <w:r w:rsidRPr="009F1F75">
        <w:rPr>
          <w:rFonts w:ascii="Arial" w:eastAsia="Times New Roman" w:hAnsi="Arial" w:cs="Arial"/>
          <w:szCs w:val="20"/>
        </w:rPr>
        <w:t xml:space="preserve"> dominance in recycling rate of materials. On the other hand, cluster number four has the highest results for the circular economy in terms of indicators C1 and C5, while cluster number five has the highest value for the circular economy indicator C2.</w:t>
      </w:r>
    </w:p>
    <w:p w14:paraId="532645CD" w14:textId="77777777" w:rsidR="00C06537" w:rsidRDefault="00C06537" w:rsidP="007906D0">
      <w:pPr>
        <w:shd w:val="clear" w:color="auto" w:fill="FFFFFF"/>
        <w:spacing w:before="100" w:beforeAutospacing="1" w:after="100" w:afterAutospacing="1"/>
        <w:rPr>
          <w:rFonts w:ascii="Arial" w:eastAsia="Times New Roman" w:hAnsi="Arial" w:cs="Arial"/>
          <w:szCs w:val="20"/>
        </w:rPr>
      </w:pPr>
    </w:p>
    <w:p w14:paraId="7E50B0F2" w14:textId="77777777" w:rsidR="007906D0" w:rsidRPr="009F1F75" w:rsidRDefault="007906D0" w:rsidP="007906D0">
      <w:pPr>
        <w:shd w:val="clear" w:color="auto" w:fill="FFFFFF"/>
        <w:spacing w:before="100" w:beforeAutospacing="1" w:after="100" w:afterAutospacing="1"/>
        <w:rPr>
          <w:rFonts w:ascii="Arial" w:eastAsia="Times New Roman" w:hAnsi="Arial" w:cs="Arial"/>
          <w:szCs w:val="20"/>
        </w:rPr>
      </w:pPr>
      <w:r w:rsidRPr="009F1F75">
        <w:rPr>
          <w:rFonts w:ascii="Arial" w:eastAsia="Times New Roman" w:hAnsi="Arial" w:cs="Arial"/>
          <w:szCs w:val="20"/>
        </w:rPr>
        <w:t>Table 2.</w:t>
      </w:r>
      <w:r w:rsidRPr="009F1F75">
        <w:rPr>
          <w:rFonts w:ascii="Arial" w:eastAsia="Times New Roman" w:hAnsi="Arial" w:cs="Arial"/>
          <w:b/>
          <w:szCs w:val="20"/>
        </w:rPr>
        <w:t xml:space="preserve"> </w:t>
      </w:r>
      <w:r w:rsidRPr="009F1F75">
        <w:rPr>
          <w:rFonts w:ascii="Arial" w:eastAsia="Times New Roman" w:hAnsi="Arial" w:cs="Arial"/>
          <w:szCs w:val="20"/>
        </w:rPr>
        <w:t>Descriptive statistics for the indicators within six analyzed clusters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586"/>
        <w:gridCol w:w="918"/>
        <w:gridCol w:w="918"/>
        <w:gridCol w:w="918"/>
        <w:gridCol w:w="918"/>
        <w:gridCol w:w="918"/>
        <w:gridCol w:w="918"/>
        <w:gridCol w:w="918"/>
        <w:gridCol w:w="918"/>
      </w:tblGrid>
      <w:tr w:rsidR="007906D0" w:rsidRPr="009F1F75" w14:paraId="7A3AD009" w14:textId="77777777" w:rsidTr="009207AC">
        <w:trPr>
          <w:trHeight w:val="415"/>
          <w:jc w:val="center"/>
        </w:trPr>
        <w:tc>
          <w:tcPr>
            <w:tcW w:w="603" w:type="pct"/>
            <w:vMerge w:val="restart"/>
            <w:shd w:val="clear" w:color="auto" w:fill="auto"/>
            <w:vAlign w:val="center"/>
          </w:tcPr>
          <w:p w14:paraId="78A12E32"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sz w:val="18"/>
                <w:szCs w:val="18"/>
              </w:rPr>
              <w:t>Cluster</w:t>
            </w:r>
          </w:p>
        </w:tc>
        <w:tc>
          <w:tcPr>
            <w:tcW w:w="325" w:type="pct"/>
            <w:vMerge w:val="restart"/>
            <w:shd w:val="clear" w:color="auto" w:fill="auto"/>
            <w:vAlign w:val="center"/>
          </w:tcPr>
          <w:p w14:paraId="5A761EC9"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sz w:val="18"/>
                <w:szCs w:val="18"/>
              </w:rPr>
              <w:t>N</w:t>
            </w:r>
          </w:p>
        </w:tc>
        <w:tc>
          <w:tcPr>
            <w:tcW w:w="4072" w:type="pct"/>
            <w:gridSpan w:val="8"/>
            <w:shd w:val="clear" w:color="auto" w:fill="auto"/>
            <w:vAlign w:val="center"/>
          </w:tcPr>
          <w:p w14:paraId="0087F125"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sz w:val="18"/>
                <w:szCs w:val="18"/>
              </w:rPr>
              <w:t>Mean</w:t>
            </w:r>
          </w:p>
        </w:tc>
      </w:tr>
      <w:tr w:rsidR="007906D0" w:rsidRPr="009F1F75" w14:paraId="6DF9EFF7" w14:textId="77777777" w:rsidTr="009207AC">
        <w:trPr>
          <w:trHeight w:val="415"/>
          <w:jc w:val="center"/>
        </w:trPr>
        <w:tc>
          <w:tcPr>
            <w:tcW w:w="603" w:type="pct"/>
            <w:vMerge/>
            <w:shd w:val="clear" w:color="auto" w:fill="auto"/>
            <w:vAlign w:val="center"/>
          </w:tcPr>
          <w:p w14:paraId="3D4BE0EF"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p>
        </w:tc>
        <w:tc>
          <w:tcPr>
            <w:tcW w:w="325" w:type="pct"/>
            <w:vMerge/>
            <w:shd w:val="clear" w:color="auto" w:fill="auto"/>
            <w:vAlign w:val="center"/>
          </w:tcPr>
          <w:p w14:paraId="2300F2FD"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p>
        </w:tc>
        <w:tc>
          <w:tcPr>
            <w:tcW w:w="509" w:type="pct"/>
            <w:shd w:val="clear" w:color="auto" w:fill="auto"/>
            <w:vAlign w:val="center"/>
          </w:tcPr>
          <w:p w14:paraId="7676964B"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sz w:val="18"/>
                <w:szCs w:val="18"/>
              </w:rPr>
              <w:t>C1</w:t>
            </w:r>
          </w:p>
        </w:tc>
        <w:tc>
          <w:tcPr>
            <w:tcW w:w="509" w:type="pct"/>
            <w:shd w:val="clear" w:color="auto" w:fill="auto"/>
            <w:vAlign w:val="center"/>
          </w:tcPr>
          <w:p w14:paraId="3E70B8E7"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sz w:val="18"/>
                <w:szCs w:val="18"/>
              </w:rPr>
              <w:t>C2</w:t>
            </w:r>
          </w:p>
        </w:tc>
        <w:tc>
          <w:tcPr>
            <w:tcW w:w="509" w:type="pct"/>
            <w:shd w:val="clear" w:color="auto" w:fill="auto"/>
            <w:vAlign w:val="center"/>
          </w:tcPr>
          <w:p w14:paraId="057240ED"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sz w:val="18"/>
                <w:szCs w:val="18"/>
              </w:rPr>
              <w:t>C3</w:t>
            </w:r>
          </w:p>
        </w:tc>
        <w:tc>
          <w:tcPr>
            <w:tcW w:w="509" w:type="pct"/>
            <w:shd w:val="clear" w:color="auto" w:fill="auto"/>
            <w:vAlign w:val="center"/>
          </w:tcPr>
          <w:p w14:paraId="0B3170C2"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sz w:val="18"/>
                <w:szCs w:val="18"/>
              </w:rPr>
              <w:t>C4</w:t>
            </w:r>
          </w:p>
        </w:tc>
        <w:tc>
          <w:tcPr>
            <w:tcW w:w="509" w:type="pct"/>
            <w:shd w:val="clear" w:color="auto" w:fill="auto"/>
            <w:vAlign w:val="center"/>
          </w:tcPr>
          <w:p w14:paraId="02BF7FD9"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sz w:val="18"/>
                <w:szCs w:val="18"/>
              </w:rPr>
              <w:t>C5</w:t>
            </w:r>
          </w:p>
        </w:tc>
        <w:tc>
          <w:tcPr>
            <w:tcW w:w="509" w:type="pct"/>
            <w:shd w:val="clear" w:color="auto" w:fill="auto"/>
            <w:vAlign w:val="center"/>
          </w:tcPr>
          <w:p w14:paraId="0798523F"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sz w:val="18"/>
                <w:szCs w:val="18"/>
              </w:rPr>
              <w:t>C6</w:t>
            </w:r>
          </w:p>
        </w:tc>
        <w:tc>
          <w:tcPr>
            <w:tcW w:w="509" w:type="pct"/>
            <w:shd w:val="clear" w:color="auto" w:fill="auto"/>
            <w:vAlign w:val="center"/>
          </w:tcPr>
          <w:p w14:paraId="7997E705"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sz w:val="20"/>
                <w:szCs w:val="20"/>
              </w:rPr>
              <w:t>C7</w:t>
            </w:r>
          </w:p>
        </w:tc>
        <w:tc>
          <w:tcPr>
            <w:tcW w:w="509" w:type="pct"/>
            <w:shd w:val="clear" w:color="auto" w:fill="auto"/>
            <w:vAlign w:val="center"/>
          </w:tcPr>
          <w:p w14:paraId="53869B20"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sz w:val="18"/>
                <w:szCs w:val="18"/>
              </w:rPr>
              <w:t>C8</w:t>
            </w:r>
          </w:p>
        </w:tc>
      </w:tr>
      <w:tr w:rsidR="007906D0" w:rsidRPr="009F1F75" w14:paraId="3B001777" w14:textId="77777777" w:rsidTr="009207AC">
        <w:trPr>
          <w:trHeight w:val="415"/>
          <w:jc w:val="center"/>
        </w:trPr>
        <w:tc>
          <w:tcPr>
            <w:tcW w:w="603" w:type="pct"/>
            <w:shd w:val="clear" w:color="auto" w:fill="auto"/>
            <w:vAlign w:val="center"/>
          </w:tcPr>
          <w:p w14:paraId="2877D2AA"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sz w:val="18"/>
                <w:szCs w:val="18"/>
              </w:rPr>
              <w:t>1</w:t>
            </w:r>
          </w:p>
        </w:tc>
        <w:tc>
          <w:tcPr>
            <w:tcW w:w="325" w:type="pct"/>
            <w:shd w:val="clear" w:color="auto" w:fill="auto"/>
            <w:vAlign w:val="center"/>
          </w:tcPr>
          <w:p w14:paraId="17D98805"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sz w:val="18"/>
                <w:szCs w:val="18"/>
              </w:rPr>
              <w:t>13</w:t>
            </w:r>
          </w:p>
        </w:tc>
        <w:tc>
          <w:tcPr>
            <w:tcW w:w="509" w:type="pct"/>
            <w:shd w:val="clear" w:color="auto" w:fill="auto"/>
            <w:vAlign w:val="center"/>
          </w:tcPr>
          <w:p w14:paraId="0F43ED81"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color w:val="000000"/>
                <w:sz w:val="18"/>
                <w:szCs w:val="18"/>
              </w:rPr>
              <w:t>2.987</w:t>
            </w:r>
          </w:p>
        </w:tc>
        <w:tc>
          <w:tcPr>
            <w:tcW w:w="509" w:type="pct"/>
            <w:shd w:val="clear" w:color="auto" w:fill="auto"/>
            <w:vAlign w:val="center"/>
          </w:tcPr>
          <w:p w14:paraId="3BFB1E7E"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color w:val="000000"/>
                <w:sz w:val="18"/>
                <w:szCs w:val="18"/>
              </w:rPr>
              <w:t>2.994</w:t>
            </w:r>
          </w:p>
        </w:tc>
        <w:tc>
          <w:tcPr>
            <w:tcW w:w="509" w:type="pct"/>
            <w:shd w:val="clear" w:color="auto" w:fill="auto"/>
            <w:vAlign w:val="center"/>
          </w:tcPr>
          <w:p w14:paraId="2BCD9D31"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color w:val="000000"/>
                <w:sz w:val="18"/>
                <w:szCs w:val="18"/>
              </w:rPr>
              <w:t>3.785</w:t>
            </w:r>
          </w:p>
        </w:tc>
        <w:tc>
          <w:tcPr>
            <w:tcW w:w="509" w:type="pct"/>
            <w:shd w:val="clear" w:color="auto" w:fill="auto"/>
            <w:vAlign w:val="center"/>
          </w:tcPr>
          <w:p w14:paraId="0A143D57"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color w:val="000000"/>
                <w:sz w:val="18"/>
                <w:szCs w:val="18"/>
              </w:rPr>
              <w:t>3.725</w:t>
            </w:r>
          </w:p>
        </w:tc>
        <w:tc>
          <w:tcPr>
            <w:tcW w:w="509" w:type="pct"/>
            <w:shd w:val="clear" w:color="auto" w:fill="auto"/>
            <w:vAlign w:val="center"/>
          </w:tcPr>
          <w:p w14:paraId="4581F298"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color w:val="000000"/>
                <w:sz w:val="18"/>
                <w:szCs w:val="18"/>
              </w:rPr>
              <w:t>2.938</w:t>
            </w:r>
          </w:p>
        </w:tc>
        <w:tc>
          <w:tcPr>
            <w:tcW w:w="509" w:type="pct"/>
            <w:shd w:val="clear" w:color="auto" w:fill="auto"/>
            <w:vAlign w:val="center"/>
          </w:tcPr>
          <w:p w14:paraId="25448FB5"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color w:val="000000"/>
                <w:sz w:val="18"/>
                <w:szCs w:val="18"/>
              </w:rPr>
              <w:t>3.047</w:t>
            </w:r>
          </w:p>
        </w:tc>
        <w:tc>
          <w:tcPr>
            <w:tcW w:w="509" w:type="pct"/>
            <w:shd w:val="clear" w:color="auto" w:fill="auto"/>
            <w:vAlign w:val="center"/>
          </w:tcPr>
          <w:p w14:paraId="5249C81A"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color w:val="000000"/>
                <w:sz w:val="18"/>
                <w:szCs w:val="18"/>
              </w:rPr>
              <w:t>3.051</w:t>
            </w:r>
          </w:p>
        </w:tc>
        <w:tc>
          <w:tcPr>
            <w:tcW w:w="509" w:type="pct"/>
            <w:shd w:val="clear" w:color="auto" w:fill="auto"/>
            <w:vAlign w:val="center"/>
          </w:tcPr>
          <w:p w14:paraId="738E73DF"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color w:val="000000"/>
                <w:sz w:val="18"/>
                <w:szCs w:val="18"/>
              </w:rPr>
              <w:t>2.934</w:t>
            </w:r>
          </w:p>
        </w:tc>
      </w:tr>
      <w:tr w:rsidR="007906D0" w:rsidRPr="009F1F75" w14:paraId="1A576004" w14:textId="77777777" w:rsidTr="009207AC">
        <w:trPr>
          <w:trHeight w:val="404"/>
          <w:jc w:val="center"/>
        </w:trPr>
        <w:tc>
          <w:tcPr>
            <w:tcW w:w="603" w:type="pct"/>
            <w:shd w:val="clear" w:color="auto" w:fill="auto"/>
            <w:vAlign w:val="center"/>
          </w:tcPr>
          <w:p w14:paraId="0D9107FA"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sz w:val="18"/>
                <w:szCs w:val="18"/>
              </w:rPr>
              <w:lastRenderedPageBreak/>
              <w:t>2</w:t>
            </w:r>
          </w:p>
        </w:tc>
        <w:tc>
          <w:tcPr>
            <w:tcW w:w="325" w:type="pct"/>
            <w:shd w:val="clear" w:color="auto" w:fill="auto"/>
            <w:vAlign w:val="center"/>
          </w:tcPr>
          <w:p w14:paraId="0FEBA9D6"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sz w:val="18"/>
                <w:szCs w:val="18"/>
              </w:rPr>
              <w:t>5</w:t>
            </w:r>
          </w:p>
        </w:tc>
        <w:tc>
          <w:tcPr>
            <w:tcW w:w="509" w:type="pct"/>
            <w:shd w:val="clear" w:color="auto" w:fill="auto"/>
            <w:vAlign w:val="center"/>
          </w:tcPr>
          <w:p w14:paraId="5EDF2A11"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color w:val="000000"/>
                <w:sz w:val="18"/>
                <w:szCs w:val="18"/>
              </w:rPr>
              <w:t>2.714</w:t>
            </w:r>
          </w:p>
        </w:tc>
        <w:tc>
          <w:tcPr>
            <w:tcW w:w="509" w:type="pct"/>
            <w:shd w:val="clear" w:color="auto" w:fill="auto"/>
            <w:vAlign w:val="center"/>
          </w:tcPr>
          <w:p w14:paraId="325DB847"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color w:val="000000"/>
                <w:sz w:val="18"/>
                <w:szCs w:val="18"/>
              </w:rPr>
              <w:t>2.542</w:t>
            </w:r>
          </w:p>
        </w:tc>
        <w:tc>
          <w:tcPr>
            <w:tcW w:w="509" w:type="pct"/>
            <w:shd w:val="clear" w:color="auto" w:fill="auto"/>
            <w:vAlign w:val="center"/>
          </w:tcPr>
          <w:p w14:paraId="50733710" w14:textId="77777777" w:rsidR="007906D0" w:rsidRPr="009F1F75" w:rsidRDefault="007906D0" w:rsidP="007906D0">
            <w:pPr>
              <w:autoSpaceDE w:val="0"/>
              <w:autoSpaceDN w:val="0"/>
              <w:adjustRightInd w:val="0"/>
              <w:spacing w:line="400" w:lineRule="atLeast"/>
              <w:jc w:val="center"/>
              <w:rPr>
                <w:rFonts w:ascii="Arial" w:eastAsia="Times New Roman" w:hAnsi="Arial" w:cs="Arial"/>
                <w:b/>
                <w:sz w:val="18"/>
                <w:szCs w:val="18"/>
              </w:rPr>
            </w:pPr>
            <w:r w:rsidRPr="009F1F75">
              <w:rPr>
                <w:rFonts w:ascii="Arial" w:eastAsia="Times New Roman" w:hAnsi="Arial" w:cs="Arial"/>
                <w:b/>
                <w:color w:val="000000"/>
                <w:sz w:val="18"/>
                <w:szCs w:val="18"/>
              </w:rPr>
              <w:t>3.832</w:t>
            </w:r>
          </w:p>
        </w:tc>
        <w:tc>
          <w:tcPr>
            <w:tcW w:w="509" w:type="pct"/>
            <w:shd w:val="clear" w:color="auto" w:fill="auto"/>
            <w:vAlign w:val="center"/>
          </w:tcPr>
          <w:p w14:paraId="6F142E49"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color w:val="000000"/>
                <w:sz w:val="18"/>
                <w:szCs w:val="18"/>
              </w:rPr>
              <w:t>2.496</w:t>
            </w:r>
          </w:p>
        </w:tc>
        <w:tc>
          <w:tcPr>
            <w:tcW w:w="509" w:type="pct"/>
            <w:shd w:val="clear" w:color="auto" w:fill="auto"/>
            <w:vAlign w:val="center"/>
          </w:tcPr>
          <w:p w14:paraId="74409FAD"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color w:val="000000"/>
                <w:sz w:val="18"/>
                <w:szCs w:val="18"/>
              </w:rPr>
              <w:t>2.168</w:t>
            </w:r>
          </w:p>
        </w:tc>
        <w:tc>
          <w:tcPr>
            <w:tcW w:w="509" w:type="pct"/>
            <w:shd w:val="clear" w:color="auto" w:fill="auto"/>
            <w:vAlign w:val="center"/>
          </w:tcPr>
          <w:p w14:paraId="6E3AA51C"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color w:val="000000"/>
                <w:sz w:val="18"/>
                <w:szCs w:val="18"/>
              </w:rPr>
              <w:t>3.024</w:t>
            </w:r>
          </w:p>
        </w:tc>
        <w:tc>
          <w:tcPr>
            <w:tcW w:w="509" w:type="pct"/>
            <w:shd w:val="clear" w:color="auto" w:fill="auto"/>
            <w:vAlign w:val="center"/>
          </w:tcPr>
          <w:p w14:paraId="5ADD075A"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color w:val="000000"/>
                <w:sz w:val="18"/>
                <w:szCs w:val="18"/>
              </w:rPr>
              <w:t>2.693</w:t>
            </w:r>
          </w:p>
        </w:tc>
        <w:tc>
          <w:tcPr>
            <w:tcW w:w="509" w:type="pct"/>
            <w:shd w:val="clear" w:color="auto" w:fill="auto"/>
            <w:vAlign w:val="center"/>
          </w:tcPr>
          <w:p w14:paraId="6C6FDBFD"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color w:val="000000"/>
                <w:sz w:val="18"/>
                <w:szCs w:val="18"/>
              </w:rPr>
              <w:t>2.785</w:t>
            </w:r>
          </w:p>
        </w:tc>
      </w:tr>
      <w:tr w:rsidR="007906D0" w:rsidRPr="009F1F75" w14:paraId="7C9204C6" w14:textId="77777777" w:rsidTr="009207AC">
        <w:trPr>
          <w:trHeight w:val="415"/>
          <w:jc w:val="center"/>
        </w:trPr>
        <w:tc>
          <w:tcPr>
            <w:tcW w:w="603" w:type="pct"/>
            <w:shd w:val="clear" w:color="auto" w:fill="auto"/>
            <w:vAlign w:val="center"/>
          </w:tcPr>
          <w:p w14:paraId="250B2A88"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sz w:val="18"/>
                <w:szCs w:val="18"/>
              </w:rPr>
              <w:t>3</w:t>
            </w:r>
          </w:p>
        </w:tc>
        <w:tc>
          <w:tcPr>
            <w:tcW w:w="325" w:type="pct"/>
            <w:shd w:val="clear" w:color="auto" w:fill="auto"/>
            <w:vAlign w:val="center"/>
          </w:tcPr>
          <w:p w14:paraId="386B7C46"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sz w:val="18"/>
                <w:szCs w:val="18"/>
              </w:rPr>
              <w:t>3</w:t>
            </w:r>
          </w:p>
        </w:tc>
        <w:tc>
          <w:tcPr>
            <w:tcW w:w="509" w:type="pct"/>
            <w:shd w:val="clear" w:color="auto" w:fill="auto"/>
            <w:vAlign w:val="center"/>
          </w:tcPr>
          <w:p w14:paraId="0E8B4D3E"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color w:val="000000"/>
                <w:sz w:val="18"/>
                <w:szCs w:val="18"/>
              </w:rPr>
              <w:t>3.031</w:t>
            </w:r>
          </w:p>
        </w:tc>
        <w:tc>
          <w:tcPr>
            <w:tcW w:w="509" w:type="pct"/>
            <w:shd w:val="clear" w:color="auto" w:fill="auto"/>
            <w:vAlign w:val="center"/>
          </w:tcPr>
          <w:p w14:paraId="111F05C3"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color w:val="000000"/>
                <w:sz w:val="18"/>
                <w:szCs w:val="18"/>
              </w:rPr>
              <w:t>3.046</w:t>
            </w:r>
          </w:p>
        </w:tc>
        <w:tc>
          <w:tcPr>
            <w:tcW w:w="509" w:type="pct"/>
            <w:shd w:val="clear" w:color="auto" w:fill="auto"/>
            <w:vAlign w:val="center"/>
          </w:tcPr>
          <w:p w14:paraId="6E2CD331"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color w:val="000000"/>
                <w:sz w:val="18"/>
                <w:szCs w:val="18"/>
              </w:rPr>
              <w:t>3.766</w:t>
            </w:r>
          </w:p>
        </w:tc>
        <w:tc>
          <w:tcPr>
            <w:tcW w:w="509" w:type="pct"/>
            <w:shd w:val="clear" w:color="auto" w:fill="auto"/>
            <w:vAlign w:val="center"/>
          </w:tcPr>
          <w:p w14:paraId="48AEF856" w14:textId="77777777" w:rsidR="007906D0" w:rsidRPr="009F1F75" w:rsidRDefault="007906D0" w:rsidP="007906D0">
            <w:pPr>
              <w:autoSpaceDE w:val="0"/>
              <w:autoSpaceDN w:val="0"/>
              <w:adjustRightInd w:val="0"/>
              <w:spacing w:line="400" w:lineRule="atLeast"/>
              <w:jc w:val="center"/>
              <w:rPr>
                <w:rFonts w:ascii="Arial" w:eastAsia="Times New Roman" w:hAnsi="Arial" w:cs="Arial"/>
                <w:b/>
                <w:bCs/>
                <w:sz w:val="18"/>
                <w:szCs w:val="18"/>
              </w:rPr>
            </w:pPr>
            <w:r w:rsidRPr="009F1F75">
              <w:rPr>
                <w:rFonts w:ascii="Arial" w:eastAsia="Times New Roman" w:hAnsi="Arial" w:cs="Arial"/>
                <w:b/>
                <w:bCs/>
                <w:color w:val="000000"/>
                <w:sz w:val="18"/>
                <w:szCs w:val="18"/>
              </w:rPr>
              <w:t>3.884</w:t>
            </w:r>
          </w:p>
        </w:tc>
        <w:tc>
          <w:tcPr>
            <w:tcW w:w="509" w:type="pct"/>
            <w:shd w:val="clear" w:color="auto" w:fill="auto"/>
            <w:vAlign w:val="center"/>
          </w:tcPr>
          <w:p w14:paraId="7B79C6B1"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color w:val="000000"/>
                <w:sz w:val="18"/>
                <w:szCs w:val="18"/>
              </w:rPr>
              <w:t>1.899</w:t>
            </w:r>
          </w:p>
        </w:tc>
        <w:tc>
          <w:tcPr>
            <w:tcW w:w="509" w:type="pct"/>
            <w:shd w:val="clear" w:color="auto" w:fill="auto"/>
            <w:vAlign w:val="center"/>
          </w:tcPr>
          <w:p w14:paraId="09C87123" w14:textId="77777777" w:rsidR="007906D0" w:rsidRPr="009F1F75" w:rsidRDefault="007906D0" w:rsidP="007906D0">
            <w:pPr>
              <w:autoSpaceDE w:val="0"/>
              <w:autoSpaceDN w:val="0"/>
              <w:adjustRightInd w:val="0"/>
              <w:spacing w:line="400" w:lineRule="atLeast"/>
              <w:jc w:val="center"/>
              <w:rPr>
                <w:rFonts w:ascii="Arial" w:eastAsia="Times New Roman" w:hAnsi="Arial" w:cs="Arial"/>
                <w:b/>
                <w:bCs/>
                <w:sz w:val="18"/>
                <w:szCs w:val="18"/>
              </w:rPr>
            </w:pPr>
            <w:r w:rsidRPr="009F1F75">
              <w:rPr>
                <w:rFonts w:ascii="Arial" w:eastAsia="Times New Roman" w:hAnsi="Arial" w:cs="Arial"/>
                <w:b/>
                <w:bCs/>
                <w:color w:val="000000"/>
                <w:sz w:val="18"/>
                <w:szCs w:val="18"/>
              </w:rPr>
              <w:t>3.283</w:t>
            </w:r>
          </w:p>
        </w:tc>
        <w:tc>
          <w:tcPr>
            <w:tcW w:w="509" w:type="pct"/>
            <w:shd w:val="clear" w:color="auto" w:fill="auto"/>
            <w:vAlign w:val="center"/>
          </w:tcPr>
          <w:p w14:paraId="69A8F081" w14:textId="77777777" w:rsidR="007906D0" w:rsidRPr="009F1F75" w:rsidRDefault="007906D0" w:rsidP="007906D0">
            <w:pPr>
              <w:autoSpaceDE w:val="0"/>
              <w:autoSpaceDN w:val="0"/>
              <w:adjustRightInd w:val="0"/>
              <w:spacing w:line="400" w:lineRule="atLeast"/>
              <w:jc w:val="center"/>
              <w:rPr>
                <w:rFonts w:ascii="Arial" w:eastAsia="Times New Roman" w:hAnsi="Arial" w:cs="Arial"/>
                <w:b/>
                <w:bCs/>
                <w:sz w:val="18"/>
                <w:szCs w:val="18"/>
              </w:rPr>
            </w:pPr>
            <w:r w:rsidRPr="009F1F75">
              <w:rPr>
                <w:rFonts w:ascii="Arial" w:eastAsia="Times New Roman" w:hAnsi="Arial" w:cs="Arial"/>
                <w:b/>
                <w:bCs/>
                <w:color w:val="000000"/>
                <w:sz w:val="18"/>
                <w:szCs w:val="18"/>
              </w:rPr>
              <w:t>3.168</w:t>
            </w:r>
          </w:p>
        </w:tc>
        <w:tc>
          <w:tcPr>
            <w:tcW w:w="509" w:type="pct"/>
            <w:shd w:val="clear" w:color="auto" w:fill="auto"/>
            <w:vAlign w:val="center"/>
          </w:tcPr>
          <w:p w14:paraId="111F65D3" w14:textId="77777777" w:rsidR="007906D0" w:rsidRPr="009F1F75" w:rsidRDefault="007906D0" w:rsidP="007906D0">
            <w:pPr>
              <w:autoSpaceDE w:val="0"/>
              <w:autoSpaceDN w:val="0"/>
              <w:adjustRightInd w:val="0"/>
              <w:spacing w:line="400" w:lineRule="atLeast"/>
              <w:jc w:val="center"/>
              <w:rPr>
                <w:rFonts w:ascii="Arial" w:eastAsia="Times New Roman" w:hAnsi="Arial" w:cs="Arial"/>
                <w:b/>
                <w:bCs/>
                <w:sz w:val="18"/>
                <w:szCs w:val="18"/>
              </w:rPr>
            </w:pPr>
            <w:r w:rsidRPr="009F1F75">
              <w:rPr>
                <w:rFonts w:ascii="Arial" w:eastAsia="Times New Roman" w:hAnsi="Arial" w:cs="Arial"/>
                <w:b/>
                <w:bCs/>
                <w:color w:val="000000"/>
                <w:sz w:val="18"/>
                <w:szCs w:val="18"/>
              </w:rPr>
              <w:t>3.161</w:t>
            </w:r>
          </w:p>
        </w:tc>
      </w:tr>
      <w:tr w:rsidR="007906D0" w:rsidRPr="009F1F75" w14:paraId="797A3165" w14:textId="77777777" w:rsidTr="009207AC">
        <w:trPr>
          <w:trHeight w:val="415"/>
          <w:jc w:val="center"/>
        </w:trPr>
        <w:tc>
          <w:tcPr>
            <w:tcW w:w="603" w:type="pct"/>
            <w:shd w:val="clear" w:color="auto" w:fill="auto"/>
            <w:vAlign w:val="center"/>
          </w:tcPr>
          <w:p w14:paraId="08CE17D2"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sz w:val="18"/>
                <w:szCs w:val="18"/>
              </w:rPr>
              <w:t>4</w:t>
            </w:r>
          </w:p>
        </w:tc>
        <w:tc>
          <w:tcPr>
            <w:tcW w:w="325" w:type="pct"/>
            <w:shd w:val="clear" w:color="auto" w:fill="auto"/>
            <w:vAlign w:val="center"/>
          </w:tcPr>
          <w:p w14:paraId="65747860"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sz w:val="18"/>
                <w:szCs w:val="18"/>
              </w:rPr>
              <w:t>3</w:t>
            </w:r>
          </w:p>
        </w:tc>
        <w:tc>
          <w:tcPr>
            <w:tcW w:w="509" w:type="pct"/>
            <w:shd w:val="clear" w:color="auto" w:fill="auto"/>
            <w:vAlign w:val="center"/>
          </w:tcPr>
          <w:p w14:paraId="403AF7B5" w14:textId="77777777" w:rsidR="007906D0" w:rsidRPr="009F1F75" w:rsidRDefault="007906D0" w:rsidP="007906D0">
            <w:pPr>
              <w:autoSpaceDE w:val="0"/>
              <w:autoSpaceDN w:val="0"/>
              <w:adjustRightInd w:val="0"/>
              <w:spacing w:line="400" w:lineRule="atLeast"/>
              <w:jc w:val="center"/>
              <w:rPr>
                <w:rFonts w:ascii="Arial" w:eastAsia="Times New Roman" w:hAnsi="Arial" w:cs="Arial"/>
                <w:b/>
                <w:bCs/>
                <w:sz w:val="18"/>
                <w:szCs w:val="18"/>
              </w:rPr>
            </w:pPr>
            <w:r w:rsidRPr="009F1F75">
              <w:rPr>
                <w:rFonts w:ascii="Arial" w:eastAsia="Times New Roman" w:hAnsi="Arial" w:cs="Arial"/>
                <w:b/>
                <w:bCs/>
                <w:color w:val="000000"/>
                <w:sz w:val="18"/>
                <w:szCs w:val="18"/>
              </w:rPr>
              <w:t>3.048</w:t>
            </w:r>
          </w:p>
        </w:tc>
        <w:tc>
          <w:tcPr>
            <w:tcW w:w="509" w:type="pct"/>
            <w:shd w:val="clear" w:color="auto" w:fill="auto"/>
            <w:vAlign w:val="center"/>
          </w:tcPr>
          <w:p w14:paraId="313DA5C2"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color w:val="000000"/>
                <w:sz w:val="18"/>
                <w:szCs w:val="18"/>
              </w:rPr>
              <w:t>3.050</w:t>
            </w:r>
          </w:p>
        </w:tc>
        <w:tc>
          <w:tcPr>
            <w:tcW w:w="509" w:type="pct"/>
            <w:shd w:val="clear" w:color="auto" w:fill="auto"/>
            <w:vAlign w:val="center"/>
          </w:tcPr>
          <w:p w14:paraId="250CD680" w14:textId="77777777" w:rsidR="007906D0" w:rsidRPr="009F1F75" w:rsidRDefault="007906D0" w:rsidP="007906D0">
            <w:pPr>
              <w:autoSpaceDE w:val="0"/>
              <w:autoSpaceDN w:val="0"/>
              <w:adjustRightInd w:val="0"/>
              <w:spacing w:line="400" w:lineRule="atLeast"/>
              <w:jc w:val="center"/>
              <w:rPr>
                <w:rFonts w:ascii="Arial" w:eastAsia="Times New Roman" w:hAnsi="Arial" w:cs="Arial"/>
                <w:bCs/>
                <w:sz w:val="18"/>
                <w:szCs w:val="18"/>
              </w:rPr>
            </w:pPr>
            <w:r w:rsidRPr="009F1F75">
              <w:rPr>
                <w:rFonts w:ascii="Arial" w:eastAsia="Times New Roman" w:hAnsi="Arial" w:cs="Arial"/>
                <w:bCs/>
                <w:color w:val="000000"/>
                <w:sz w:val="18"/>
                <w:szCs w:val="18"/>
              </w:rPr>
              <w:t>3.779</w:t>
            </w:r>
          </w:p>
        </w:tc>
        <w:tc>
          <w:tcPr>
            <w:tcW w:w="509" w:type="pct"/>
            <w:shd w:val="clear" w:color="auto" w:fill="auto"/>
            <w:vAlign w:val="center"/>
          </w:tcPr>
          <w:p w14:paraId="788DA9DD"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color w:val="000000"/>
                <w:sz w:val="18"/>
                <w:szCs w:val="18"/>
              </w:rPr>
              <w:t>3.680</w:t>
            </w:r>
          </w:p>
        </w:tc>
        <w:tc>
          <w:tcPr>
            <w:tcW w:w="509" w:type="pct"/>
            <w:shd w:val="clear" w:color="auto" w:fill="auto"/>
            <w:vAlign w:val="center"/>
          </w:tcPr>
          <w:p w14:paraId="6DBA7A6B" w14:textId="77777777" w:rsidR="007906D0" w:rsidRPr="009F1F75" w:rsidRDefault="007906D0" w:rsidP="007906D0">
            <w:pPr>
              <w:autoSpaceDE w:val="0"/>
              <w:autoSpaceDN w:val="0"/>
              <w:adjustRightInd w:val="0"/>
              <w:spacing w:line="400" w:lineRule="atLeast"/>
              <w:jc w:val="center"/>
              <w:rPr>
                <w:rFonts w:ascii="Arial" w:eastAsia="Times New Roman" w:hAnsi="Arial" w:cs="Arial"/>
                <w:b/>
                <w:bCs/>
                <w:sz w:val="18"/>
                <w:szCs w:val="18"/>
              </w:rPr>
            </w:pPr>
            <w:r w:rsidRPr="009F1F75">
              <w:rPr>
                <w:rFonts w:ascii="Arial" w:eastAsia="Times New Roman" w:hAnsi="Arial" w:cs="Arial"/>
                <w:b/>
                <w:bCs/>
                <w:color w:val="000000"/>
                <w:sz w:val="18"/>
                <w:szCs w:val="18"/>
              </w:rPr>
              <w:t>4.239</w:t>
            </w:r>
          </w:p>
        </w:tc>
        <w:tc>
          <w:tcPr>
            <w:tcW w:w="509" w:type="pct"/>
            <w:shd w:val="clear" w:color="auto" w:fill="auto"/>
            <w:vAlign w:val="center"/>
          </w:tcPr>
          <w:p w14:paraId="25F753E2"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color w:val="000000"/>
                <w:sz w:val="18"/>
                <w:szCs w:val="18"/>
              </w:rPr>
              <w:t>2.961</w:t>
            </w:r>
          </w:p>
        </w:tc>
        <w:tc>
          <w:tcPr>
            <w:tcW w:w="509" w:type="pct"/>
            <w:shd w:val="clear" w:color="auto" w:fill="auto"/>
            <w:vAlign w:val="center"/>
          </w:tcPr>
          <w:p w14:paraId="1C59C611"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color w:val="000000"/>
                <w:sz w:val="18"/>
                <w:szCs w:val="18"/>
              </w:rPr>
              <w:t>3.016</w:t>
            </w:r>
          </w:p>
        </w:tc>
        <w:tc>
          <w:tcPr>
            <w:tcW w:w="509" w:type="pct"/>
            <w:shd w:val="clear" w:color="auto" w:fill="auto"/>
            <w:vAlign w:val="center"/>
          </w:tcPr>
          <w:p w14:paraId="3B104029"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color w:val="000000"/>
                <w:sz w:val="18"/>
                <w:szCs w:val="18"/>
              </w:rPr>
              <w:t>3.041</w:t>
            </w:r>
          </w:p>
        </w:tc>
      </w:tr>
      <w:tr w:rsidR="007906D0" w:rsidRPr="009F1F75" w14:paraId="6C9FCE33" w14:textId="77777777" w:rsidTr="009207AC">
        <w:trPr>
          <w:trHeight w:val="404"/>
          <w:jc w:val="center"/>
        </w:trPr>
        <w:tc>
          <w:tcPr>
            <w:tcW w:w="603" w:type="pct"/>
            <w:shd w:val="clear" w:color="auto" w:fill="auto"/>
            <w:vAlign w:val="center"/>
          </w:tcPr>
          <w:p w14:paraId="5FC5DAFD"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sz w:val="18"/>
                <w:szCs w:val="18"/>
              </w:rPr>
              <w:t>5</w:t>
            </w:r>
          </w:p>
        </w:tc>
        <w:tc>
          <w:tcPr>
            <w:tcW w:w="325" w:type="pct"/>
            <w:shd w:val="clear" w:color="auto" w:fill="auto"/>
            <w:vAlign w:val="center"/>
          </w:tcPr>
          <w:p w14:paraId="446EF9F2"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sz w:val="18"/>
                <w:szCs w:val="18"/>
              </w:rPr>
              <w:t>2</w:t>
            </w:r>
          </w:p>
        </w:tc>
        <w:tc>
          <w:tcPr>
            <w:tcW w:w="509" w:type="pct"/>
            <w:shd w:val="clear" w:color="auto" w:fill="auto"/>
            <w:vAlign w:val="center"/>
          </w:tcPr>
          <w:p w14:paraId="7077912D"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color w:val="000000"/>
                <w:sz w:val="18"/>
                <w:szCs w:val="18"/>
              </w:rPr>
              <w:t>2.778</w:t>
            </w:r>
          </w:p>
        </w:tc>
        <w:tc>
          <w:tcPr>
            <w:tcW w:w="509" w:type="pct"/>
            <w:shd w:val="clear" w:color="auto" w:fill="auto"/>
            <w:vAlign w:val="center"/>
          </w:tcPr>
          <w:p w14:paraId="36096A80" w14:textId="77777777" w:rsidR="007906D0" w:rsidRPr="009F1F75" w:rsidRDefault="007906D0" w:rsidP="007906D0">
            <w:pPr>
              <w:autoSpaceDE w:val="0"/>
              <w:autoSpaceDN w:val="0"/>
              <w:adjustRightInd w:val="0"/>
              <w:spacing w:line="400" w:lineRule="atLeast"/>
              <w:jc w:val="center"/>
              <w:rPr>
                <w:rFonts w:ascii="Arial" w:eastAsia="Times New Roman" w:hAnsi="Arial" w:cs="Arial"/>
                <w:b/>
                <w:bCs/>
                <w:sz w:val="18"/>
                <w:szCs w:val="18"/>
              </w:rPr>
            </w:pPr>
            <w:r w:rsidRPr="009F1F75">
              <w:rPr>
                <w:rFonts w:ascii="Arial" w:eastAsia="Times New Roman" w:hAnsi="Arial" w:cs="Arial"/>
                <w:b/>
                <w:bCs/>
                <w:color w:val="000000"/>
                <w:sz w:val="18"/>
                <w:szCs w:val="18"/>
              </w:rPr>
              <w:t>3.143</w:t>
            </w:r>
          </w:p>
        </w:tc>
        <w:tc>
          <w:tcPr>
            <w:tcW w:w="509" w:type="pct"/>
            <w:shd w:val="clear" w:color="auto" w:fill="auto"/>
            <w:vAlign w:val="center"/>
          </w:tcPr>
          <w:p w14:paraId="224793C8"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color w:val="000000"/>
                <w:sz w:val="18"/>
                <w:szCs w:val="18"/>
              </w:rPr>
              <w:t>3.723</w:t>
            </w:r>
          </w:p>
        </w:tc>
        <w:tc>
          <w:tcPr>
            <w:tcW w:w="509" w:type="pct"/>
            <w:shd w:val="clear" w:color="auto" w:fill="auto"/>
            <w:vAlign w:val="center"/>
          </w:tcPr>
          <w:p w14:paraId="2EFD2CFC"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color w:val="000000"/>
                <w:sz w:val="18"/>
                <w:szCs w:val="18"/>
              </w:rPr>
              <w:t>3.569</w:t>
            </w:r>
          </w:p>
        </w:tc>
        <w:tc>
          <w:tcPr>
            <w:tcW w:w="509" w:type="pct"/>
            <w:shd w:val="clear" w:color="auto" w:fill="auto"/>
            <w:vAlign w:val="center"/>
          </w:tcPr>
          <w:p w14:paraId="41B38468"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color w:val="000000"/>
                <w:sz w:val="18"/>
                <w:szCs w:val="18"/>
              </w:rPr>
              <w:t>3.147</w:t>
            </w:r>
          </w:p>
        </w:tc>
        <w:tc>
          <w:tcPr>
            <w:tcW w:w="509" w:type="pct"/>
            <w:shd w:val="clear" w:color="auto" w:fill="auto"/>
            <w:vAlign w:val="center"/>
          </w:tcPr>
          <w:p w14:paraId="1EEB60DA"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color w:val="000000"/>
                <w:sz w:val="18"/>
                <w:szCs w:val="18"/>
              </w:rPr>
              <w:t>1.797</w:t>
            </w:r>
          </w:p>
        </w:tc>
        <w:tc>
          <w:tcPr>
            <w:tcW w:w="509" w:type="pct"/>
            <w:shd w:val="clear" w:color="auto" w:fill="auto"/>
            <w:vAlign w:val="center"/>
          </w:tcPr>
          <w:p w14:paraId="46EF4138"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color w:val="000000"/>
                <w:sz w:val="18"/>
                <w:szCs w:val="18"/>
              </w:rPr>
              <w:t>2.79</w:t>
            </w:r>
          </w:p>
        </w:tc>
        <w:tc>
          <w:tcPr>
            <w:tcW w:w="509" w:type="pct"/>
            <w:shd w:val="clear" w:color="auto" w:fill="auto"/>
            <w:vAlign w:val="center"/>
          </w:tcPr>
          <w:p w14:paraId="63A5D9C2"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color w:val="000000"/>
                <w:sz w:val="18"/>
                <w:szCs w:val="18"/>
              </w:rPr>
              <w:t>2.727</w:t>
            </w:r>
          </w:p>
        </w:tc>
      </w:tr>
      <w:tr w:rsidR="007906D0" w:rsidRPr="009F1F75" w14:paraId="04E20C2C" w14:textId="77777777" w:rsidTr="009207AC">
        <w:trPr>
          <w:trHeight w:val="415"/>
          <w:jc w:val="center"/>
        </w:trPr>
        <w:tc>
          <w:tcPr>
            <w:tcW w:w="603" w:type="pct"/>
            <w:shd w:val="clear" w:color="auto" w:fill="auto"/>
            <w:vAlign w:val="center"/>
          </w:tcPr>
          <w:p w14:paraId="49B67BDA"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sz w:val="18"/>
                <w:szCs w:val="18"/>
              </w:rPr>
              <w:t>6</w:t>
            </w:r>
          </w:p>
        </w:tc>
        <w:tc>
          <w:tcPr>
            <w:tcW w:w="325" w:type="pct"/>
            <w:shd w:val="clear" w:color="auto" w:fill="auto"/>
            <w:vAlign w:val="center"/>
          </w:tcPr>
          <w:p w14:paraId="78BA47D0"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sz w:val="18"/>
                <w:szCs w:val="18"/>
              </w:rPr>
              <w:t>1</w:t>
            </w:r>
          </w:p>
        </w:tc>
        <w:tc>
          <w:tcPr>
            <w:tcW w:w="509" w:type="pct"/>
            <w:shd w:val="clear" w:color="auto" w:fill="auto"/>
            <w:vAlign w:val="center"/>
          </w:tcPr>
          <w:p w14:paraId="1D61ECCD"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color w:val="000000"/>
                <w:sz w:val="18"/>
                <w:szCs w:val="18"/>
              </w:rPr>
              <w:t>2.958</w:t>
            </w:r>
          </w:p>
        </w:tc>
        <w:tc>
          <w:tcPr>
            <w:tcW w:w="509" w:type="pct"/>
            <w:shd w:val="clear" w:color="auto" w:fill="auto"/>
            <w:vAlign w:val="center"/>
          </w:tcPr>
          <w:p w14:paraId="50C64039"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color w:val="000000"/>
                <w:sz w:val="18"/>
                <w:szCs w:val="18"/>
              </w:rPr>
              <w:t>2.99</w:t>
            </w:r>
          </w:p>
        </w:tc>
        <w:tc>
          <w:tcPr>
            <w:tcW w:w="509" w:type="pct"/>
            <w:shd w:val="clear" w:color="auto" w:fill="auto"/>
            <w:vAlign w:val="center"/>
          </w:tcPr>
          <w:p w14:paraId="609ABD0C"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color w:val="000000"/>
                <w:sz w:val="18"/>
                <w:szCs w:val="18"/>
              </w:rPr>
              <w:t>4.059</w:t>
            </w:r>
          </w:p>
        </w:tc>
        <w:tc>
          <w:tcPr>
            <w:tcW w:w="509" w:type="pct"/>
            <w:shd w:val="clear" w:color="auto" w:fill="auto"/>
            <w:vAlign w:val="center"/>
          </w:tcPr>
          <w:p w14:paraId="2B53563E"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color w:val="000000"/>
                <w:sz w:val="18"/>
                <w:szCs w:val="18"/>
              </w:rPr>
              <w:t>3.82</w:t>
            </w:r>
          </w:p>
        </w:tc>
        <w:tc>
          <w:tcPr>
            <w:tcW w:w="509" w:type="pct"/>
            <w:shd w:val="clear" w:color="auto" w:fill="auto"/>
            <w:vAlign w:val="center"/>
          </w:tcPr>
          <w:p w14:paraId="37205D0B"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color w:val="000000"/>
                <w:sz w:val="18"/>
                <w:szCs w:val="18"/>
              </w:rPr>
              <w:t>1.000</w:t>
            </w:r>
          </w:p>
        </w:tc>
        <w:tc>
          <w:tcPr>
            <w:tcW w:w="509" w:type="pct"/>
            <w:shd w:val="clear" w:color="auto" w:fill="auto"/>
            <w:vAlign w:val="center"/>
          </w:tcPr>
          <w:p w14:paraId="6F9E44A3"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color w:val="000000"/>
                <w:sz w:val="18"/>
                <w:szCs w:val="18"/>
              </w:rPr>
              <w:t>2.751</w:t>
            </w:r>
          </w:p>
        </w:tc>
        <w:tc>
          <w:tcPr>
            <w:tcW w:w="509" w:type="pct"/>
            <w:shd w:val="clear" w:color="auto" w:fill="auto"/>
            <w:vAlign w:val="center"/>
          </w:tcPr>
          <w:p w14:paraId="25BC12A9"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color w:val="000000"/>
                <w:sz w:val="18"/>
                <w:szCs w:val="18"/>
              </w:rPr>
              <w:t>0.001</w:t>
            </w:r>
          </w:p>
        </w:tc>
        <w:tc>
          <w:tcPr>
            <w:tcW w:w="509" w:type="pct"/>
            <w:shd w:val="clear" w:color="auto" w:fill="auto"/>
            <w:vAlign w:val="center"/>
          </w:tcPr>
          <w:p w14:paraId="3B24912C" w14:textId="77777777" w:rsidR="007906D0" w:rsidRPr="009F1F75" w:rsidRDefault="007906D0" w:rsidP="007906D0">
            <w:pPr>
              <w:autoSpaceDE w:val="0"/>
              <w:autoSpaceDN w:val="0"/>
              <w:adjustRightInd w:val="0"/>
              <w:spacing w:line="400" w:lineRule="atLeast"/>
              <w:jc w:val="center"/>
              <w:rPr>
                <w:rFonts w:ascii="Arial" w:eastAsia="Times New Roman" w:hAnsi="Arial" w:cs="Arial"/>
                <w:sz w:val="18"/>
                <w:szCs w:val="18"/>
              </w:rPr>
            </w:pPr>
            <w:r w:rsidRPr="009F1F75">
              <w:rPr>
                <w:rFonts w:ascii="Arial" w:eastAsia="Times New Roman" w:hAnsi="Arial" w:cs="Arial"/>
                <w:color w:val="000000"/>
                <w:sz w:val="18"/>
                <w:szCs w:val="18"/>
              </w:rPr>
              <w:t>3.085</w:t>
            </w:r>
          </w:p>
        </w:tc>
      </w:tr>
    </w:tbl>
    <w:p w14:paraId="6EF99686" w14:textId="77777777" w:rsidR="007906D0" w:rsidRPr="009F1F75" w:rsidRDefault="007906D0" w:rsidP="007906D0">
      <w:pPr>
        <w:jc w:val="both"/>
        <w:rPr>
          <w:rFonts w:ascii="Arial" w:eastAsia="Times New Roman" w:hAnsi="Arial" w:cs="Arial"/>
          <w:sz w:val="18"/>
          <w:szCs w:val="18"/>
        </w:rPr>
      </w:pPr>
      <w:r w:rsidRPr="009F1F75">
        <w:rPr>
          <w:rFonts w:ascii="Arial" w:eastAsia="Times New Roman" w:hAnsi="Arial" w:cs="Arial"/>
          <w:sz w:val="18"/>
          <w:szCs w:val="18"/>
        </w:rPr>
        <w:t>*C1- Municipal waste generation per capita, C2- Packaging waste generation per capita, C3- Recycling rate of materials, C4- Recycling rate of packaging waste by type of packaging, C5- Patents related to waste management and recycling, C6- Recycling rate of e-waste, C7- Bio-waste recycling rate, C8- Municipal waste recycling rate</w:t>
      </w:r>
    </w:p>
    <w:p w14:paraId="781088C3" w14:textId="77777777" w:rsidR="007906D0" w:rsidRPr="009F1F75" w:rsidRDefault="007906D0" w:rsidP="007906D0">
      <w:pPr>
        <w:shd w:val="clear" w:color="auto" w:fill="FFFFFF"/>
        <w:jc w:val="both"/>
        <w:rPr>
          <w:rFonts w:ascii="Arial" w:eastAsia="Times New Roman" w:hAnsi="Arial" w:cs="Arial"/>
          <w:sz w:val="18"/>
          <w:szCs w:val="18"/>
        </w:rPr>
      </w:pPr>
      <w:r w:rsidRPr="009F1F75">
        <w:rPr>
          <w:rFonts w:ascii="Arial" w:eastAsia="Times New Roman" w:hAnsi="Arial" w:cs="Arial"/>
          <w:sz w:val="18"/>
          <w:szCs w:val="18"/>
        </w:rPr>
        <w:t xml:space="preserve">**N- number of analyzed countries in the </w:t>
      </w:r>
      <w:proofErr w:type="gramStart"/>
      <w:r w:rsidRPr="009F1F75">
        <w:rPr>
          <w:rFonts w:ascii="Arial" w:eastAsia="Times New Roman" w:hAnsi="Arial" w:cs="Arial"/>
          <w:sz w:val="18"/>
          <w:szCs w:val="18"/>
        </w:rPr>
        <w:t>particular cluster</w:t>
      </w:r>
      <w:proofErr w:type="gramEnd"/>
    </w:p>
    <w:p w14:paraId="2D5BAB3C" w14:textId="77777777" w:rsidR="007906D0" w:rsidRPr="009F1F75" w:rsidRDefault="007906D0" w:rsidP="007906D0">
      <w:pPr>
        <w:shd w:val="clear" w:color="auto" w:fill="FFFFFF"/>
        <w:jc w:val="both"/>
        <w:rPr>
          <w:rFonts w:ascii="Arial" w:eastAsia="Times New Roman" w:hAnsi="Arial" w:cs="Arial"/>
          <w:bCs/>
          <w:sz w:val="18"/>
          <w:szCs w:val="18"/>
        </w:rPr>
      </w:pPr>
      <w:r w:rsidRPr="009F1F75">
        <w:rPr>
          <w:rFonts w:ascii="Arial" w:eastAsia="Times New Roman" w:hAnsi="Arial" w:cs="Arial"/>
          <w:bCs/>
          <w:sz w:val="18"/>
          <w:szCs w:val="18"/>
        </w:rPr>
        <w:t xml:space="preserve">Source: Authors’ calculation </w:t>
      </w:r>
      <w:r w:rsidRPr="009F1F75">
        <w:rPr>
          <w:rFonts w:ascii="Arial" w:eastAsia="Times New Roman" w:hAnsi="Arial" w:cs="Arial"/>
          <w:sz w:val="18"/>
          <w:szCs w:val="18"/>
        </w:rPr>
        <w:t>using statistical software IBM SPSS 26.0</w:t>
      </w:r>
    </w:p>
    <w:p w14:paraId="30C4E328" w14:textId="77777777" w:rsidR="007906D0" w:rsidRPr="009F1F75" w:rsidRDefault="007906D0" w:rsidP="007906D0">
      <w:pPr>
        <w:shd w:val="clear" w:color="auto" w:fill="FFFFFF"/>
        <w:spacing w:before="100" w:beforeAutospacing="1" w:after="100" w:afterAutospacing="1"/>
        <w:jc w:val="both"/>
        <w:rPr>
          <w:rFonts w:ascii="Arial" w:eastAsia="Times New Roman" w:hAnsi="Arial" w:cs="Arial"/>
          <w:sz w:val="24"/>
          <w:szCs w:val="20"/>
        </w:rPr>
      </w:pPr>
      <w:r w:rsidRPr="009F1F75">
        <w:rPr>
          <w:rFonts w:ascii="Arial" w:eastAsia="Times New Roman" w:hAnsi="Arial" w:cs="Arial"/>
          <w:szCs w:val="20"/>
        </w:rPr>
        <w:t xml:space="preserve">Based on the mentioned descriptive statistics and membership in specific clusters, where the first </w:t>
      </w:r>
      <w:r w:rsidRPr="009F1F75">
        <w:rPr>
          <w:rFonts w:ascii="Arial" w:eastAsia="Times New Roman" w:hAnsi="Arial" w:cs="Arial"/>
          <w:sz w:val="24"/>
          <w:szCs w:val="20"/>
        </w:rPr>
        <w:t>cluster consists of thirteen countries, the second cluster contains five member states, the third and fourth clusters have three countries each, the fifth cluster consists of two countries, and the sixth cluster comprises a single-country cluster (Malta), a map of circular economy clusters based on circular business model indicators for EU27 was created (Figure 4). These clusters consist of the following countries:</w:t>
      </w:r>
    </w:p>
    <w:p w14:paraId="0C4B3E84" w14:textId="77777777" w:rsidR="007906D0" w:rsidRPr="009F1F75" w:rsidRDefault="007906D0" w:rsidP="007906D0">
      <w:pPr>
        <w:numPr>
          <w:ilvl w:val="0"/>
          <w:numId w:val="6"/>
        </w:numPr>
        <w:shd w:val="clear" w:color="auto" w:fill="FFFFFF"/>
        <w:spacing w:before="100" w:beforeAutospacing="1" w:after="100" w:afterAutospacing="1"/>
        <w:jc w:val="both"/>
        <w:rPr>
          <w:rFonts w:ascii="Arial" w:eastAsia="Times New Roman" w:hAnsi="Arial" w:cs="Arial"/>
          <w:sz w:val="24"/>
          <w:szCs w:val="20"/>
        </w:rPr>
      </w:pPr>
      <w:r w:rsidRPr="009F1F75">
        <w:rPr>
          <w:rFonts w:ascii="Arial" w:eastAsia="Times New Roman" w:hAnsi="Arial" w:cs="Arial"/>
          <w:sz w:val="24"/>
          <w:szCs w:val="20"/>
        </w:rPr>
        <w:t>Cluster 1: Austria, Belgium, Denmark, Finland, France, Germany, Hungary, Ireland, Luxembourg, Portugal, Slovenia, Spain, and Sweden.</w:t>
      </w:r>
    </w:p>
    <w:p w14:paraId="3DA9FE48" w14:textId="77777777" w:rsidR="007906D0" w:rsidRPr="009F1F75" w:rsidRDefault="007906D0" w:rsidP="007906D0">
      <w:pPr>
        <w:numPr>
          <w:ilvl w:val="0"/>
          <w:numId w:val="6"/>
        </w:numPr>
        <w:shd w:val="clear" w:color="auto" w:fill="FFFFFF"/>
        <w:spacing w:before="100" w:beforeAutospacing="1" w:after="100" w:afterAutospacing="1"/>
        <w:jc w:val="both"/>
        <w:rPr>
          <w:rFonts w:ascii="Arial" w:eastAsia="Times New Roman" w:hAnsi="Arial" w:cs="Arial"/>
          <w:sz w:val="24"/>
          <w:szCs w:val="20"/>
        </w:rPr>
      </w:pPr>
      <w:r w:rsidRPr="009F1F75">
        <w:rPr>
          <w:rFonts w:ascii="Arial" w:eastAsia="Times New Roman" w:hAnsi="Arial" w:cs="Arial"/>
          <w:sz w:val="24"/>
          <w:szCs w:val="20"/>
        </w:rPr>
        <w:t>Cluster 2: Bulgaria, Cyprus, Greece, Netherlands, and Poland.</w:t>
      </w:r>
    </w:p>
    <w:p w14:paraId="3D8CF011" w14:textId="77777777" w:rsidR="007906D0" w:rsidRPr="009F1F75" w:rsidRDefault="007906D0" w:rsidP="007906D0">
      <w:pPr>
        <w:numPr>
          <w:ilvl w:val="0"/>
          <w:numId w:val="6"/>
        </w:numPr>
        <w:shd w:val="clear" w:color="auto" w:fill="FFFFFF"/>
        <w:spacing w:before="100" w:beforeAutospacing="1" w:after="100" w:afterAutospacing="1"/>
        <w:jc w:val="both"/>
        <w:rPr>
          <w:rFonts w:ascii="Arial" w:eastAsia="Times New Roman" w:hAnsi="Arial" w:cs="Arial"/>
          <w:sz w:val="24"/>
          <w:szCs w:val="20"/>
        </w:rPr>
      </w:pPr>
      <w:r w:rsidRPr="009F1F75">
        <w:rPr>
          <w:rFonts w:ascii="Arial" w:eastAsia="Times New Roman" w:hAnsi="Arial" w:cs="Arial"/>
          <w:sz w:val="24"/>
          <w:szCs w:val="20"/>
        </w:rPr>
        <w:t>Cluster 3: Croatia, Estonia, and Latvia.</w:t>
      </w:r>
    </w:p>
    <w:p w14:paraId="62E282D5" w14:textId="77777777" w:rsidR="007906D0" w:rsidRPr="009F1F75" w:rsidRDefault="007906D0" w:rsidP="007906D0">
      <w:pPr>
        <w:numPr>
          <w:ilvl w:val="0"/>
          <w:numId w:val="6"/>
        </w:numPr>
        <w:shd w:val="clear" w:color="auto" w:fill="FFFFFF"/>
        <w:spacing w:before="100" w:beforeAutospacing="1" w:after="100" w:afterAutospacing="1"/>
        <w:jc w:val="both"/>
        <w:rPr>
          <w:rFonts w:ascii="Arial" w:eastAsia="Times New Roman" w:hAnsi="Arial" w:cs="Arial"/>
          <w:sz w:val="24"/>
          <w:szCs w:val="20"/>
        </w:rPr>
      </w:pPr>
      <w:r w:rsidRPr="009F1F75">
        <w:rPr>
          <w:rFonts w:ascii="Arial" w:eastAsia="Times New Roman" w:hAnsi="Arial" w:cs="Arial"/>
          <w:sz w:val="24"/>
          <w:szCs w:val="20"/>
        </w:rPr>
        <w:t>Cluster 4: Czech Republic, Lithuania, and Slovakia.</w:t>
      </w:r>
    </w:p>
    <w:p w14:paraId="26C20A3C" w14:textId="77777777" w:rsidR="007906D0" w:rsidRPr="009F1F75" w:rsidRDefault="007906D0" w:rsidP="007906D0">
      <w:pPr>
        <w:numPr>
          <w:ilvl w:val="0"/>
          <w:numId w:val="6"/>
        </w:numPr>
        <w:shd w:val="clear" w:color="auto" w:fill="FFFFFF"/>
        <w:spacing w:before="100" w:beforeAutospacing="1" w:after="100" w:afterAutospacing="1"/>
        <w:jc w:val="both"/>
        <w:rPr>
          <w:rFonts w:ascii="Arial" w:eastAsia="Times New Roman" w:hAnsi="Arial" w:cs="Arial"/>
          <w:sz w:val="24"/>
          <w:szCs w:val="20"/>
        </w:rPr>
      </w:pPr>
      <w:r w:rsidRPr="009F1F75">
        <w:rPr>
          <w:rFonts w:ascii="Arial" w:eastAsia="Times New Roman" w:hAnsi="Arial" w:cs="Arial"/>
          <w:sz w:val="24"/>
          <w:szCs w:val="20"/>
        </w:rPr>
        <w:t>Cluster 5: Italy and Romania.</w:t>
      </w:r>
    </w:p>
    <w:p w14:paraId="7D0F6600" w14:textId="77777777" w:rsidR="007906D0" w:rsidRPr="009F1F75" w:rsidRDefault="007906D0" w:rsidP="007906D0">
      <w:pPr>
        <w:numPr>
          <w:ilvl w:val="0"/>
          <w:numId w:val="6"/>
        </w:numPr>
        <w:shd w:val="clear" w:color="auto" w:fill="FFFFFF"/>
        <w:spacing w:before="100" w:beforeAutospacing="1" w:after="100" w:afterAutospacing="1"/>
        <w:jc w:val="both"/>
        <w:rPr>
          <w:rFonts w:ascii="Arial" w:eastAsia="Times New Roman" w:hAnsi="Arial" w:cs="Arial"/>
          <w:szCs w:val="20"/>
        </w:rPr>
      </w:pPr>
      <w:r w:rsidRPr="009F1F75">
        <w:rPr>
          <w:rFonts w:ascii="Arial" w:eastAsia="Times New Roman" w:hAnsi="Arial" w:cs="Arial"/>
          <w:sz w:val="24"/>
          <w:szCs w:val="20"/>
        </w:rPr>
        <w:t>Cluster 6: Malta.</w:t>
      </w:r>
    </w:p>
    <w:p w14:paraId="52C915C5" w14:textId="08791746" w:rsidR="007906D0" w:rsidRPr="009F1F75" w:rsidRDefault="00CD06E1" w:rsidP="007906D0">
      <w:pPr>
        <w:autoSpaceDE w:val="0"/>
        <w:autoSpaceDN w:val="0"/>
        <w:adjustRightInd w:val="0"/>
        <w:jc w:val="center"/>
        <w:rPr>
          <w:rFonts w:ascii="Arial" w:eastAsia="Times New Roman" w:hAnsi="Arial" w:cs="Arial"/>
          <w:sz w:val="20"/>
          <w:szCs w:val="20"/>
        </w:rPr>
      </w:pPr>
      <w:r w:rsidRPr="00471483">
        <w:rPr>
          <w:rFonts w:ascii="Arial" w:eastAsia="Times New Roman" w:hAnsi="Arial" w:cs="Arial"/>
          <w:noProof/>
          <w:sz w:val="20"/>
          <w:szCs w:val="20"/>
        </w:rPr>
        <w:lastRenderedPageBreak/>
        <w:drawing>
          <wp:inline distT="0" distB="0" distL="0" distR="0" wp14:anchorId="06EB8BB6" wp14:editId="36E74C64">
            <wp:extent cx="4559300" cy="3765550"/>
            <wp:effectExtent l="0" t="0" r="0" b="0"/>
            <wp:docPr id="4" name="Picture 1" descr="Klaster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steri (2)"/>
                    <pic:cNvPicPr>
                      <a:picLocks noChangeAspect="1" noChangeArrowheads="1"/>
                    </pic:cNvPicPr>
                  </pic:nvPicPr>
                  <pic:blipFill>
                    <a:blip r:embed="rId13" cstate="print">
                      <a:extLst>
                        <a:ext uri="{28A0092B-C50C-407E-A947-70E740481C1C}">
                          <a14:useLocalDpi xmlns:a14="http://schemas.microsoft.com/office/drawing/2010/main" val="0"/>
                        </a:ext>
                      </a:extLst>
                    </a:blip>
                    <a:srcRect l="7481" r="12891"/>
                    <a:stretch>
                      <a:fillRect/>
                    </a:stretch>
                  </pic:blipFill>
                  <pic:spPr bwMode="auto">
                    <a:xfrm>
                      <a:off x="0" y="0"/>
                      <a:ext cx="4559300" cy="3765550"/>
                    </a:xfrm>
                    <a:prstGeom prst="rect">
                      <a:avLst/>
                    </a:prstGeom>
                    <a:noFill/>
                    <a:ln>
                      <a:noFill/>
                    </a:ln>
                  </pic:spPr>
                </pic:pic>
              </a:graphicData>
            </a:graphic>
          </wp:inline>
        </w:drawing>
      </w:r>
    </w:p>
    <w:p w14:paraId="07550581" w14:textId="77777777" w:rsidR="007906D0" w:rsidRPr="009F1F75" w:rsidRDefault="007906D0" w:rsidP="007906D0">
      <w:pPr>
        <w:rPr>
          <w:rFonts w:ascii="Arial" w:eastAsia="Times New Roman" w:hAnsi="Arial" w:cs="Arial"/>
          <w:szCs w:val="20"/>
          <w:lang w:val="en-GB"/>
        </w:rPr>
      </w:pPr>
      <w:r w:rsidRPr="009F1F75">
        <w:rPr>
          <w:rFonts w:ascii="Arial" w:eastAsia="Times New Roman" w:hAnsi="Arial" w:cs="Arial"/>
          <w:szCs w:val="20"/>
          <w:lang w:val="en-GB"/>
        </w:rPr>
        <w:t>Figure 4.</w:t>
      </w:r>
      <w:r w:rsidRPr="009F1F75">
        <w:rPr>
          <w:rFonts w:ascii="Arial" w:eastAsia="Times New Roman" w:hAnsi="Arial" w:cs="Arial"/>
          <w:b/>
          <w:szCs w:val="20"/>
          <w:lang w:val="en-GB"/>
        </w:rPr>
        <w:t xml:space="preserve"> </w:t>
      </w:r>
      <w:r w:rsidRPr="009F1F75">
        <w:rPr>
          <w:rFonts w:ascii="Arial" w:eastAsia="Times New Roman" w:hAnsi="Arial" w:cs="Arial"/>
          <w:szCs w:val="20"/>
          <w:lang w:val="en-GB"/>
        </w:rPr>
        <w:t xml:space="preserve">EU27 map chart based </w:t>
      </w:r>
      <w:proofErr w:type="gramStart"/>
      <w:r w:rsidRPr="009F1F75">
        <w:rPr>
          <w:rFonts w:ascii="Arial" w:eastAsia="Times New Roman" w:hAnsi="Arial" w:cs="Arial"/>
          <w:szCs w:val="20"/>
          <w:lang w:val="en-GB"/>
        </w:rPr>
        <w:t>on  cluster</w:t>
      </w:r>
      <w:proofErr w:type="gramEnd"/>
      <w:r w:rsidRPr="009F1F75">
        <w:rPr>
          <w:rFonts w:ascii="Arial" w:eastAsia="Times New Roman" w:hAnsi="Arial" w:cs="Arial"/>
          <w:szCs w:val="20"/>
          <w:lang w:val="en-GB"/>
        </w:rPr>
        <w:t xml:space="preserve"> membership and descriptive statistics among clusters</w:t>
      </w:r>
    </w:p>
    <w:p w14:paraId="63C0DEA8" w14:textId="77777777" w:rsidR="007906D0" w:rsidRPr="009F1F75" w:rsidRDefault="007906D0" w:rsidP="007906D0">
      <w:pPr>
        <w:rPr>
          <w:rFonts w:ascii="Arial" w:eastAsia="Times New Roman" w:hAnsi="Arial" w:cs="Arial"/>
          <w:sz w:val="18"/>
          <w:szCs w:val="18"/>
          <w:lang w:val="en-GB"/>
        </w:rPr>
      </w:pPr>
      <w:r w:rsidRPr="009F1F75">
        <w:rPr>
          <w:rFonts w:ascii="Arial" w:eastAsia="Times New Roman" w:hAnsi="Arial" w:cs="Arial"/>
          <w:sz w:val="18"/>
          <w:szCs w:val="18"/>
        </w:rPr>
        <w:t>Source: Author’s calculation using statistical software IBM SPSS 26.0</w:t>
      </w:r>
    </w:p>
    <w:p w14:paraId="792AC718" w14:textId="77777777" w:rsidR="007906D0" w:rsidRPr="009F1F75" w:rsidRDefault="007906D0" w:rsidP="007906D0">
      <w:pPr>
        <w:autoSpaceDE w:val="0"/>
        <w:autoSpaceDN w:val="0"/>
        <w:adjustRightInd w:val="0"/>
        <w:jc w:val="both"/>
        <w:rPr>
          <w:rFonts w:ascii="Arial" w:eastAsia="Times New Roman" w:hAnsi="Arial" w:cs="Arial"/>
          <w:sz w:val="20"/>
          <w:szCs w:val="20"/>
          <w:lang w:val="en-GB"/>
        </w:rPr>
      </w:pPr>
    </w:p>
    <w:p w14:paraId="7924CB6B" w14:textId="77777777" w:rsidR="007906D0" w:rsidRPr="009F1F75" w:rsidRDefault="007906D0" w:rsidP="007906D0">
      <w:pPr>
        <w:autoSpaceDE w:val="0"/>
        <w:autoSpaceDN w:val="0"/>
        <w:adjustRightInd w:val="0"/>
        <w:jc w:val="both"/>
        <w:rPr>
          <w:rFonts w:ascii="Arial" w:eastAsia="Times New Roman" w:hAnsi="Arial" w:cs="Arial"/>
          <w:szCs w:val="20"/>
          <w:lang w:val="en-GB"/>
        </w:rPr>
      </w:pPr>
      <w:r w:rsidRPr="009F1F75">
        <w:rPr>
          <w:rFonts w:ascii="Arial" w:eastAsia="Times New Roman" w:hAnsi="Arial" w:cs="Arial"/>
          <w:szCs w:val="20"/>
          <w:lang w:val="en-GB"/>
        </w:rPr>
        <w:t xml:space="preserve">To validate the hierarchical grouping, the authors used Levene's statistic. The Levene test is one of the </w:t>
      </w:r>
      <w:proofErr w:type="gramStart"/>
      <w:r w:rsidRPr="009F1F75">
        <w:rPr>
          <w:rFonts w:ascii="Arial" w:eastAsia="Times New Roman" w:hAnsi="Arial" w:cs="Arial"/>
          <w:szCs w:val="20"/>
          <w:lang w:val="en-GB"/>
        </w:rPr>
        <w:t>most commonly used</w:t>
      </w:r>
      <w:proofErr w:type="gramEnd"/>
      <w:r w:rsidRPr="009F1F75">
        <w:rPr>
          <w:rFonts w:ascii="Arial" w:eastAsia="Times New Roman" w:hAnsi="Arial" w:cs="Arial"/>
          <w:szCs w:val="20"/>
          <w:lang w:val="en-GB"/>
        </w:rPr>
        <w:t xml:space="preserve"> tests, which starts from the null hypothesis that the variance is the same in all samples if P &gt; 0.05. If P &gt; 0.05, the null hypothesis is accepted, and the alternative is rejected, implying that the variance is equal for at least one pair of samples (Rađenović et al., 2022). Testing showed that statistically significant differences do not exist between the variations of the given sample, as recorded in Table 3. The results further indicate that the null hypothesis was accepted, meaning that the variance is homogeneous for the given variable across groups.</w:t>
      </w:r>
    </w:p>
    <w:p w14:paraId="139CB0B3" w14:textId="77777777" w:rsidR="007906D0" w:rsidRPr="009F1F75" w:rsidRDefault="007906D0" w:rsidP="007906D0">
      <w:pPr>
        <w:autoSpaceDE w:val="0"/>
        <w:autoSpaceDN w:val="0"/>
        <w:adjustRightInd w:val="0"/>
        <w:jc w:val="center"/>
        <w:rPr>
          <w:rFonts w:ascii="Arial" w:eastAsia="Times New Roman" w:hAnsi="Arial" w:cs="Arial"/>
          <w:szCs w:val="20"/>
          <w:lang w:val="en-GB"/>
        </w:rPr>
      </w:pPr>
    </w:p>
    <w:p w14:paraId="7D337AFF" w14:textId="77777777" w:rsidR="007906D0" w:rsidRPr="009F1F75" w:rsidRDefault="007906D0" w:rsidP="007906D0">
      <w:pPr>
        <w:autoSpaceDE w:val="0"/>
        <w:autoSpaceDN w:val="0"/>
        <w:adjustRightInd w:val="0"/>
        <w:rPr>
          <w:rFonts w:ascii="Arial" w:eastAsia="Times New Roman" w:hAnsi="Arial" w:cs="Arial"/>
          <w:szCs w:val="20"/>
          <w:lang w:val="en-GB"/>
        </w:rPr>
      </w:pPr>
      <w:r w:rsidRPr="009F1F75">
        <w:rPr>
          <w:rFonts w:ascii="Arial" w:eastAsia="Times New Roman" w:hAnsi="Arial" w:cs="Arial"/>
          <w:szCs w:val="20"/>
          <w:lang w:val="en-GB"/>
        </w:rPr>
        <w:t>Table 3. Levene statistics and ANOVA procedure</w:t>
      </w:r>
    </w:p>
    <w:p w14:paraId="3B027CC7" w14:textId="77777777" w:rsidR="007906D0" w:rsidRPr="009F1F75" w:rsidRDefault="007906D0" w:rsidP="007906D0">
      <w:pPr>
        <w:autoSpaceDE w:val="0"/>
        <w:autoSpaceDN w:val="0"/>
        <w:adjustRightInd w:val="0"/>
        <w:jc w:val="center"/>
        <w:rPr>
          <w:rFonts w:ascii="Arial" w:eastAsia="Times New Roman" w:hAnsi="Arial" w:cs="Arial"/>
          <w:sz w:val="20"/>
          <w:szCs w:val="20"/>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4"/>
        <w:gridCol w:w="1885"/>
        <w:gridCol w:w="823"/>
        <w:gridCol w:w="1335"/>
        <w:gridCol w:w="1633"/>
        <w:gridCol w:w="822"/>
        <w:gridCol w:w="1334"/>
      </w:tblGrid>
      <w:tr w:rsidR="007906D0" w:rsidRPr="009F1F75" w14:paraId="142DC747" w14:textId="77777777" w:rsidTr="009207AC">
        <w:trPr>
          <w:trHeight w:val="239"/>
          <w:jc w:val="center"/>
        </w:trPr>
        <w:tc>
          <w:tcPr>
            <w:tcW w:w="656" w:type="pct"/>
            <w:shd w:val="clear" w:color="auto" w:fill="auto"/>
            <w:vAlign w:val="center"/>
          </w:tcPr>
          <w:p w14:paraId="6979A6BF" w14:textId="77777777" w:rsidR="007906D0" w:rsidRPr="009F1F75" w:rsidRDefault="007906D0" w:rsidP="007906D0">
            <w:pPr>
              <w:autoSpaceDE w:val="0"/>
              <w:autoSpaceDN w:val="0"/>
              <w:adjustRightInd w:val="0"/>
              <w:jc w:val="center"/>
              <w:rPr>
                <w:rFonts w:ascii="Arial" w:eastAsia="Times New Roman" w:hAnsi="Arial" w:cs="Arial"/>
                <w:sz w:val="18"/>
                <w:szCs w:val="18"/>
              </w:rPr>
            </w:pPr>
            <w:r w:rsidRPr="009F1F75">
              <w:rPr>
                <w:rFonts w:ascii="Arial" w:eastAsia="Times New Roman" w:hAnsi="Arial" w:cs="Arial"/>
                <w:sz w:val="18"/>
                <w:szCs w:val="18"/>
              </w:rPr>
              <w:t>Indicators</w:t>
            </w:r>
          </w:p>
        </w:tc>
        <w:tc>
          <w:tcPr>
            <w:tcW w:w="1045" w:type="pct"/>
            <w:shd w:val="clear" w:color="auto" w:fill="auto"/>
            <w:vAlign w:val="center"/>
          </w:tcPr>
          <w:p w14:paraId="7AFEE006"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Levene Statistic</w:t>
            </w:r>
          </w:p>
        </w:tc>
        <w:tc>
          <w:tcPr>
            <w:tcW w:w="456" w:type="pct"/>
            <w:shd w:val="clear" w:color="auto" w:fill="auto"/>
            <w:vAlign w:val="center"/>
          </w:tcPr>
          <w:p w14:paraId="1EE542F0"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Sig.</w:t>
            </w:r>
          </w:p>
        </w:tc>
        <w:tc>
          <w:tcPr>
            <w:tcW w:w="740" w:type="pct"/>
            <w:vAlign w:val="center"/>
          </w:tcPr>
          <w:p w14:paraId="5C45B54C"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Decision</w:t>
            </w:r>
          </w:p>
        </w:tc>
        <w:tc>
          <w:tcPr>
            <w:tcW w:w="905" w:type="pct"/>
            <w:vAlign w:val="center"/>
          </w:tcPr>
          <w:p w14:paraId="794902B7"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Mean Square</w:t>
            </w:r>
          </w:p>
        </w:tc>
        <w:tc>
          <w:tcPr>
            <w:tcW w:w="456" w:type="pct"/>
            <w:vAlign w:val="center"/>
          </w:tcPr>
          <w:p w14:paraId="00FA2C15"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Sig.</w:t>
            </w:r>
          </w:p>
        </w:tc>
        <w:tc>
          <w:tcPr>
            <w:tcW w:w="740" w:type="pct"/>
            <w:vAlign w:val="center"/>
          </w:tcPr>
          <w:p w14:paraId="1879D003"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Decision</w:t>
            </w:r>
          </w:p>
        </w:tc>
      </w:tr>
      <w:tr w:rsidR="007906D0" w:rsidRPr="009F1F75" w14:paraId="0EDD28C7" w14:textId="77777777" w:rsidTr="009207AC">
        <w:trPr>
          <w:trHeight w:val="247"/>
          <w:jc w:val="center"/>
        </w:trPr>
        <w:tc>
          <w:tcPr>
            <w:tcW w:w="656" w:type="pct"/>
            <w:shd w:val="clear" w:color="auto" w:fill="auto"/>
            <w:vAlign w:val="center"/>
          </w:tcPr>
          <w:p w14:paraId="3B42B903"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C1</w:t>
            </w:r>
          </w:p>
        </w:tc>
        <w:tc>
          <w:tcPr>
            <w:tcW w:w="1045" w:type="pct"/>
            <w:shd w:val="clear" w:color="auto" w:fill="auto"/>
            <w:vAlign w:val="center"/>
          </w:tcPr>
          <w:p w14:paraId="09C06B7E"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4.463</w:t>
            </w:r>
          </w:p>
        </w:tc>
        <w:tc>
          <w:tcPr>
            <w:tcW w:w="456" w:type="pct"/>
            <w:shd w:val="clear" w:color="auto" w:fill="auto"/>
            <w:vAlign w:val="center"/>
          </w:tcPr>
          <w:p w14:paraId="35E86FD4"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.090</w:t>
            </w:r>
          </w:p>
        </w:tc>
        <w:tc>
          <w:tcPr>
            <w:tcW w:w="740" w:type="pct"/>
            <w:vAlign w:val="center"/>
          </w:tcPr>
          <w:p w14:paraId="3116F48E"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Approved</w:t>
            </w:r>
          </w:p>
        </w:tc>
        <w:tc>
          <w:tcPr>
            <w:tcW w:w="905" w:type="pct"/>
            <w:shd w:val="clear" w:color="auto" w:fill="auto"/>
            <w:vAlign w:val="center"/>
          </w:tcPr>
          <w:p w14:paraId="58B0AB93"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.079</w:t>
            </w:r>
          </w:p>
        </w:tc>
        <w:tc>
          <w:tcPr>
            <w:tcW w:w="456" w:type="pct"/>
            <w:shd w:val="clear" w:color="auto" w:fill="auto"/>
            <w:vAlign w:val="center"/>
          </w:tcPr>
          <w:p w14:paraId="0CB304E4"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.038</w:t>
            </w:r>
          </w:p>
        </w:tc>
        <w:tc>
          <w:tcPr>
            <w:tcW w:w="740" w:type="pct"/>
            <w:vAlign w:val="center"/>
          </w:tcPr>
          <w:p w14:paraId="4ACF542D"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Approved</w:t>
            </w:r>
          </w:p>
        </w:tc>
      </w:tr>
      <w:tr w:rsidR="007906D0" w:rsidRPr="009F1F75" w14:paraId="7088CCA5" w14:textId="77777777" w:rsidTr="009207AC">
        <w:trPr>
          <w:trHeight w:val="239"/>
          <w:jc w:val="center"/>
        </w:trPr>
        <w:tc>
          <w:tcPr>
            <w:tcW w:w="656" w:type="pct"/>
            <w:shd w:val="clear" w:color="auto" w:fill="auto"/>
            <w:vAlign w:val="center"/>
          </w:tcPr>
          <w:p w14:paraId="55721962"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C2</w:t>
            </w:r>
          </w:p>
        </w:tc>
        <w:tc>
          <w:tcPr>
            <w:tcW w:w="1045" w:type="pct"/>
            <w:shd w:val="clear" w:color="auto" w:fill="auto"/>
            <w:vAlign w:val="center"/>
          </w:tcPr>
          <w:p w14:paraId="15449C32"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.736</w:t>
            </w:r>
          </w:p>
        </w:tc>
        <w:tc>
          <w:tcPr>
            <w:tcW w:w="456" w:type="pct"/>
            <w:shd w:val="clear" w:color="auto" w:fill="auto"/>
            <w:vAlign w:val="center"/>
          </w:tcPr>
          <w:p w14:paraId="0428EA9B"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.578</w:t>
            </w:r>
          </w:p>
        </w:tc>
        <w:tc>
          <w:tcPr>
            <w:tcW w:w="740" w:type="pct"/>
            <w:vAlign w:val="center"/>
          </w:tcPr>
          <w:p w14:paraId="30BCF7E1"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Approved</w:t>
            </w:r>
          </w:p>
        </w:tc>
        <w:tc>
          <w:tcPr>
            <w:tcW w:w="905" w:type="pct"/>
            <w:shd w:val="clear" w:color="auto" w:fill="auto"/>
            <w:vAlign w:val="center"/>
          </w:tcPr>
          <w:p w14:paraId="5C7E35B9"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.197</w:t>
            </w:r>
          </w:p>
        </w:tc>
        <w:tc>
          <w:tcPr>
            <w:tcW w:w="456" w:type="pct"/>
            <w:shd w:val="clear" w:color="auto" w:fill="auto"/>
            <w:vAlign w:val="center"/>
          </w:tcPr>
          <w:p w14:paraId="70DFE2E1"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.000</w:t>
            </w:r>
          </w:p>
        </w:tc>
        <w:tc>
          <w:tcPr>
            <w:tcW w:w="740" w:type="pct"/>
            <w:vAlign w:val="center"/>
          </w:tcPr>
          <w:p w14:paraId="580FC86C"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Approved</w:t>
            </w:r>
          </w:p>
        </w:tc>
      </w:tr>
      <w:tr w:rsidR="007906D0" w:rsidRPr="009F1F75" w14:paraId="61B8FF48" w14:textId="77777777" w:rsidTr="009207AC">
        <w:trPr>
          <w:trHeight w:val="239"/>
          <w:jc w:val="center"/>
        </w:trPr>
        <w:tc>
          <w:tcPr>
            <w:tcW w:w="656" w:type="pct"/>
            <w:shd w:val="clear" w:color="auto" w:fill="auto"/>
            <w:vAlign w:val="center"/>
          </w:tcPr>
          <w:p w14:paraId="4B1FC7FB"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C3</w:t>
            </w:r>
          </w:p>
        </w:tc>
        <w:tc>
          <w:tcPr>
            <w:tcW w:w="1045" w:type="pct"/>
            <w:shd w:val="clear" w:color="auto" w:fill="auto"/>
            <w:vAlign w:val="center"/>
          </w:tcPr>
          <w:p w14:paraId="1D47D3B5"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.659</w:t>
            </w:r>
          </w:p>
        </w:tc>
        <w:tc>
          <w:tcPr>
            <w:tcW w:w="456" w:type="pct"/>
            <w:shd w:val="clear" w:color="auto" w:fill="auto"/>
            <w:vAlign w:val="center"/>
          </w:tcPr>
          <w:p w14:paraId="67919354"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.628</w:t>
            </w:r>
          </w:p>
        </w:tc>
        <w:tc>
          <w:tcPr>
            <w:tcW w:w="740" w:type="pct"/>
            <w:vAlign w:val="center"/>
          </w:tcPr>
          <w:p w14:paraId="56CDEFC8"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Approved</w:t>
            </w:r>
          </w:p>
        </w:tc>
        <w:tc>
          <w:tcPr>
            <w:tcW w:w="905" w:type="pct"/>
            <w:shd w:val="clear" w:color="auto" w:fill="auto"/>
            <w:vAlign w:val="center"/>
          </w:tcPr>
          <w:p w14:paraId="3574A592"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.018</w:t>
            </w:r>
          </w:p>
        </w:tc>
        <w:tc>
          <w:tcPr>
            <w:tcW w:w="456" w:type="pct"/>
            <w:shd w:val="clear" w:color="auto" w:fill="auto"/>
            <w:vAlign w:val="center"/>
          </w:tcPr>
          <w:p w14:paraId="5700AAAE"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.013</w:t>
            </w:r>
          </w:p>
        </w:tc>
        <w:tc>
          <w:tcPr>
            <w:tcW w:w="740" w:type="pct"/>
            <w:vAlign w:val="center"/>
          </w:tcPr>
          <w:p w14:paraId="4FA0AA7B"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Approved</w:t>
            </w:r>
          </w:p>
        </w:tc>
      </w:tr>
      <w:tr w:rsidR="007906D0" w:rsidRPr="009F1F75" w14:paraId="2075ACE5" w14:textId="77777777" w:rsidTr="009207AC">
        <w:trPr>
          <w:trHeight w:val="239"/>
          <w:jc w:val="center"/>
        </w:trPr>
        <w:tc>
          <w:tcPr>
            <w:tcW w:w="656" w:type="pct"/>
            <w:shd w:val="clear" w:color="auto" w:fill="auto"/>
            <w:vAlign w:val="center"/>
          </w:tcPr>
          <w:p w14:paraId="11265BC1"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C4</w:t>
            </w:r>
          </w:p>
        </w:tc>
        <w:tc>
          <w:tcPr>
            <w:tcW w:w="1045" w:type="pct"/>
            <w:shd w:val="clear" w:color="auto" w:fill="auto"/>
            <w:vAlign w:val="center"/>
          </w:tcPr>
          <w:p w14:paraId="079AB27D"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11.671</w:t>
            </w:r>
          </w:p>
        </w:tc>
        <w:tc>
          <w:tcPr>
            <w:tcW w:w="456" w:type="pct"/>
            <w:shd w:val="clear" w:color="auto" w:fill="auto"/>
            <w:vAlign w:val="center"/>
          </w:tcPr>
          <w:p w14:paraId="54BE21CD"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.050</w:t>
            </w:r>
          </w:p>
        </w:tc>
        <w:tc>
          <w:tcPr>
            <w:tcW w:w="740" w:type="pct"/>
            <w:vAlign w:val="center"/>
          </w:tcPr>
          <w:p w14:paraId="1D239EC0"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Approved</w:t>
            </w:r>
          </w:p>
        </w:tc>
        <w:tc>
          <w:tcPr>
            <w:tcW w:w="905" w:type="pct"/>
            <w:shd w:val="clear" w:color="auto" w:fill="auto"/>
            <w:vAlign w:val="center"/>
          </w:tcPr>
          <w:p w14:paraId="7A8DE717"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1.271</w:t>
            </w:r>
          </w:p>
        </w:tc>
        <w:tc>
          <w:tcPr>
            <w:tcW w:w="456" w:type="pct"/>
            <w:shd w:val="clear" w:color="auto" w:fill="auto"/>
            <w:vAlign w:val="center"/>
          </w:tcPr>
          <w:p w14:paraId="30E7582A"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.000</w:t>
            </w:r>
          </w:p>
        </w:tc>
        <w:tc>
          <w:tcPr>
            <w:tcW w:w="740" w:type="pct"/>
            <w:vAlign w:val="center"/>
          </w:tcPr>
          <w:p w14:paraId="362E1202"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Approved</w:t>
            </w:r>
          </w:p>
        </w:tc>
      </w:tr>
      <w:tr w:rsidR="007906D0" w:rsidRPr="009F1F75" w14:paraId="6CAA2B85" w14:textId="77777777" w:rsidTr="009207AC">
        <w:trPr>
          <w:trHeight w:val="247"/>
          <w:jc w:val="center"/>
        </w:trPr>
        <w:tc>
          <w:tcPr>
            <w:tcW w:w="656" w:type="pct"/>
            <w:shd w:val="clear" w:color="auto" w:fill="auto"/>
            <w:vAlign w:val="center"/>
          </w:tcPr>
          <w:p w14:paraId="5D76A2AF"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C5</w:t>
            </w:r>
          </w:p>
        </w:tc>
        <w:tc>
          <w:tcPr>
            <w:tcW w:w="1045" w:type="pct"/>
            <w:shd w:val="clear" w:color="auto" w:fill="auto"/>
            <w:vAlign w:val="center"/>
          </w:tcPr>
          <w:p w14:paraId="2B4BF715"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3.429</w:t>
            </w:r>
          </w:p>
        </w:tc>
        <w:tc>
          <w:tcPr>
            <w:tcW w:w="456" w:type="pct"/>
            <w:shd w:val="clear" w:color="auto" w:fill="auto"/>
            <w:vAlign w:val="center"/>
          </w:tcPr>
          <w:p w14:paraId="1C529C80"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.056</w:t>
            </w:r>
          </w:p>
        </w:tc>
        <w:tc>
          <w:tcPr>
            <w:tcW w:w="740" w:type="pct"/>
            <w:vAlign w:val="center"/>
          </w:tcPr>
          <w:p w14:paraId="284A92FF"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Approved</w:t>
            </w:r>
          </w:p>
        </w:tc>
        <w:tc>
          <w:tcPr>
            <w:tcW w:w="905" w:type="pct"/>
            <w:shd w:val="clear" w:color="auto" w:fill="auto"/>
            <w:vAlign w:val="center"/>
          </w:tcPr>
          <w:p w14:paraId="4FF618D4"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2.869</w:t>
            </w:r>
          </w:p>
        </w:tc>
        <w:tc>
          <w:tcPr>
            <w:tcW w:w="456" w:type="pct"/>
            <w:shd w:val="clear" w:color="auto" w:fill="auto"/>
            <w:vAlign w:val="center"/>
          </w:tcPr>
          <w:p w14:paraId="2F234ED7"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.000</w:t>
            </w:r>
          </w:p>
        </w:tc>
        <w:tc>
          <w:tcPr>
            <w:tcW w:w="740" w:type="pct"/>
            <w:vAlign w:val="center"/>
          </w:tcPr>
          <w:p w14:paraId="78944F11"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Approved</w:t>
            </w:r>
          </w:p>
        </w:tc>
      </w:tr>
      <w:tr w:rsidR="007906D0" w:rsidRPr="009F1F75" w14:paraId="0B59B202" w14:textId="77777777" w:rsidTr="009207AC">
        <w:trPr>
          <w:trHeight w:val="239"/>
          <w:jc w:val="center"/>
        </w:trPr>
        <w:tc>
          <w:tcPr>
            <w:tcW w:w="656" w:type="pct"/>
            <w:shd w:val="clear" w:color="auto" w:fill="auto"/>
            <w:vAlign w:val="center"/>
          </w:tcPr>
          <w:p w14:paraId="57548055"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C6</w:t>
            </w:r>
          </w:p>
        </w:tc>
        <w:tc>
          <w:tcPr>
            <w:tcW w:w="1045" w:type="pct"/>
            <w:shd w:val="clear" w:color="auto" w:fill="auto"/>
            <w:vAlign w:val="center"/>
          </w:tcPr>
          <w:p w14:paraId="5FCC0FD3"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1.436</w:t>
            </w:r>
          </w:p>
        </w:tc>
        <w:tc>
          <w:tcPr>
            <w:tcW w:w="456" w:type="pct"/>
            <w:shd w:val="clear" w:color="auto" w:fill="auto"/>
            <w:vAlign w:val="center"/>
          </w:tcPr>
          <w:p w14:paraId="3287EE6A"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.257</w:t>
            </w:r>
          </w:p>
        </w:tc>
        <w:tc>
          <w:tcPr>
            <w:tcW w:w="740" w:type="pct"/>
            <w:vAlign w:val="center"/>
          </w:tcPr>
          <w:p w14:paraId="23D22D67"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Approved</w:t>
            </w:r>
          </w:p>
        </w:tc>
        <w:tc>
          <w:tcPr>
            <w:tcW w:w="905" w:type="pct"/>
            <w:shd w:val="clear" w:color="auto" w:fill="auto"/>
            <w:vAlign w:val="center"/>
          </w:tcPr>
          <w:p w14:paraId="51249A8A"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.636</w:t>
            </w:r>
          </w:p>
        </w:tc>
        <w:tc>
          <w:tcPr>
            <w:tcW w:w="456" w:type="pct"/>
            <w:shd w:val="clear" w:color="auto" w:fill="auto"/>
            <w:vAlign w:val="center"/>
          </w:tcPr>
          <w:p w14:paraId="04497CF9"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.000</w:t>
            </w:r>
          </w:p>
        </w:tc>
        <w:tc>
          <w:tcPr>
            <w:tcW w:w="740" w:type="pct"/>
            <w:vAlign w:val="center"/>
          </w:tcPr>
          <w:p w14:paraId="124C11F5"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Approved</w:t>
            </w:r>
          </w:p>
        </w:tc>
      </w:tr>
      <w:tr w:rsidR="007906D0" w:rsidRPr="009F1F75" w14:paraId="686E7528" w14:textId="77777777" w:rsidTr="009207AC">
        <w:trPr>
          <w:trHeight w:val="239"/>
          <w:jc w:val="center"/>
        </w:trPr>
        <w:tc>
          <w:tcPr>
            <w:tcW w:w="656" w:type="pct"/>
            <w:shd w:val="clear" w:color="auto" w:fill="auto"/>
            <w:vAlign w:val="center"/>
          </w:tcPr>
          <w:p w14:paraId="0B0EAD94"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C7</w:t>
            </w:r>
          </w:p>
        </w:tc>
        <w:tc>
          <w:tcPr>
            <w:tcW w:w="1045" w:type="pct"/>
            <w:shd w:val="clear" w:color="auto" w:fill="auto"/>
            <w:vAlign w:val="center"/>
          </w:tcPr>
          <w:p w14:paraId="4D25B8BE"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2.974</w:t>
            </w:r>
          </w:p>
        </w:tc>
        <w:tc>
          <w:tcPr>
            <w:tcW w:w="456" w:type="pct"/>
            <w:shd w:val="clear" w:color="auto" w:fill="auto"/>
            <w:vAlign w:val="center"/>
          </w:tcPr>
          <w:p w14:paraId="3B2D30C8"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.053</w:t>
            </w:r>
          </w:p>
        </w:tc>
        <w:tc>
          <w:tcPr>
            <w:tcW w:w="740" w:type="pct"/>
            <w:vAlign w:val="center"/>
          </w:tcPr>
          <w:p w14:paraId="4FB547BD"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Approved</w:t>
            </w:r>
          </w:p>
        </w:tc>
        <w:tc>
          <w:tcPr>
            <w:tcW w:w="905" w:type="pct"/>
            <w:shd w:val="clear" w:color="auto" w:fill="auto"/>
            <w:vAlign w:val="center"/>
          </w:tcPr>
          <w:p w14:paraId="788E0AC1"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1.832</w:t>
            </w:r>
          </w:p>
        </w:tc>
        <w:tc>
          <w:tcPr>
            <w:tcW w:w="456" w:type="pct"/>
            <w:shd w:val="clear" w:color="auto" w:fill="auto"/>
            <w:vAlign w:val="center"/>
          </w:tcPr>
          <w:p w14:paraId="7C3F79EF"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.000</w:t>
            </w:r>
          </w:p>
        </w:tc>
        <w:tc>
          <w:tcPr>
            <w:tcW w:w="740" w:type="pct"/>
            <w:vAlign w:val="center"/>
          </w:tcPr>
          <w:p w14:paraId="2A35AE5A"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Approved</w:t>
            </w:r>
          </w:p>
        </w:tc>
      </w:tr>
      <w:tr w:rsidR="007906D0" w:rsidRPr="009F1F75" w14:paraId="5A3A5A75" w14:textId="77777777" w:rsidTr="009207AC">
        <w:trPr>
          <w:trHeight w:val="239"/>
          <w:jc w:val="center"/>
        </w:trPr>
        <w:tc>
          <w:tcPr>
            <w:tcW w:w="656" w:type="pct"/>
            <w:shd w:val="clear" w:color="auto" w:fill="auto"/>
            <w:vAlign w:val="center"/>
          </w:tcPr>
          <w:p w14:paraId="70915DCA"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C8</w:t>
            </w:r>
          </w:p>
        </w:tc>
        <w:tc>
          <w:tcPr>
            <w:tcW w:w="1045" w:type="pct"/>
            <w:shd w:val="clear" w:color="auto" w:fill="auto"/>
            <w:vAlign w:val="center"/>
          </w:tcPr>
          <w:p w14:paraId="13C7FB8E"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1.245</w:t>
            </w:r>
          </w:p>
        </w:tc>
        <w:tc>
          <w:tcPr>
            <w:tcW w:w="456" w:type="pct"/>
            <w:shd w:val="clear" w:color="auto" w:fill="auto"/>
            <w:vAlign w:val="center"/>
          </w:tcPr>
          <w:p w14:paraId="7A0A4316"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.322</w:t>
            </w:r>
          </w:p>
        </w:tc>
        <w:tc>
          <w:tcPr>
            <w:tcW w:w="740" w:type="pct"/>
            <w:vAlign w:val="center"/>
          </w:tcPr>
          <w:p w14:paraId="76BC8E49"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Approved</w:t>
            </w:r>
          </w:p>
        </w:tc>
        <w:tc>
          <w:tcPr>
            <w:tcW w:w="905" w:type="pct"/>
            <w:shd w:val="clear" w:color="auto" w:fill="auto"/>
            <w:vAlign w:val="center"/>
          </w:tcPr>
          <w:p w14:paraId="3AAB8AEB"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.081</w:t>
            </w:r>
          </w:p>
        </w:tc>
        <w:tc>
          <w:tcPr>
            <w:tcW w:w="456" w:type="pct"/>
            <w:shd w:val="clear" w:color="auto" w:fill="auto"/>
            <w:vAlign w:val="center"/>
          </w:tcPr>
          <w:p w14:paraId="61FD31B6"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.037</w:t>
            </w:r>
          </w:p>
        </w:tc>
        <w:tc>
          <w:tcPr>
            <w:tcW w:w="740" w:type="pct"/>
            <w:vAlign w:val="center"/>
          </w:tcPr>
          <w:p w14:paraId="4968F2E0" w14:textId="77777777" w:rsidR="007906D0" w:rsidRPr="009F1F75" w:rsidRDefault="007906D0" w:rsidP="007906D0">
            <w:pPr>
              <w:autoSpaceDE w:val="0"/>
              <w:autoSpaceDN w:val="0"/>
              <w:adjustRightInd w:val="0"/>
              <w:spacing w:line="320" w:lineRule="atLeast"/>
              <w:ind w:left="60" w:right="60"/>
              <w:jc w:val="center"/>
              <w:rPr>
                <w:rFonts w:ascii="Arial" w:eastAsia="Times New Roman" w:hAnsi="Arial" w:cs="Arial"/>
                <w:sz w:val="18"/>
                <w:szCs w:val="18"/>
              </w:rPr>
            </w:pPr>
            <w:r w:rsidRPr="009F1F75">
              <w:rPr>
                <w:rFonts w:ascii="Arial" w:eastAsia="Times New Roman" w:hAnsi="Arial" w:cs="Arial"/>
                <w:sz w:val="18"/>
                <w:szCs w:val="18"/>
              </w:rPr>
              <w:t>Approved</w:t>
            </w:r>
          </w:p>
        </w:tc>
      </w:tr>
    </w:tbl>
    <w:p w14:paraId="0BAD279A" w14:textId="77777777" w:rsidR="007906D0" w:rsidRPr="009F1F75" w:rsidRDefault="007906D0" w:rsidP="009F1F75">
      <w:pPr>
        <w:rPr>
          <w:rFonts w:ascii="Arial" w:eastAsia="Times New Roman" w:hAnsi="Arial" w:cs="Arial"/>
          <w:sz w:val="18"/>
          <w:szCs w:val="18"/>
          <w:lang w:val="en-GB"/>
        </w:rPr>
      </w:pPr>
      <w:r w:rsidRPr="009F1F75">
        <w:rPr>
          <w:rFonts w:ascii="Arial" w:eastAsia="Times New Roman" w:hAnsi="Arial" w:cs="Arial"/>
          <w:sz w:val="18"/>
          <w:szCs w:val="18"/>
          <w:lang w:val="en-GB"/>
        </w:rPr>
        <w:t>*The level of significance is taken at 0.05.</w:t>
      </w:r>
    </w:p>
    <w:p w14:paraId="0CD50468" w14:textId="77777777" w:rsidR="007906D0" w:rsidRPr="009F1F75" w:rsidRDefault="007906D0" w:rsidP="009F1F75">
      <w:pPr>
        <w:rPr>
          <w:rFonts w:ascii="Arial" w:eastAsia="Times New Roman" w:hAnsi="Arial" w:cs="Arial"/>
          <w:sz w:val="18"/>
          <w:szCs w:val="18"/>
          <w:lang w:val="en-GB"/>
        </w:rPr>
      </w:pPr>
      <w:r w:rsidRPr="009F1F75">
        <w:rPr>
          <w:rFonts w:ascii="Arial" w:eastAsia="Times New Roman" w:hAnsi="Arial" w:cs="Arial"/>
          <w:sz w:val="18"/>
          <w:szCs w:val="18"/>
        </w:rPr>
        <w:t>Source: Author’s calculation using statistical software IBM SPSS 26.0</w:t>
      </w:r>
    </w:p>
    <w:p w14:paraId="6316CBDE" w14:textId="77777777" w:rsidR="007906D0" w:rsidRPr="009F1F75" w:rsidRDefault="007906D0" w:rsidP="007906D0">
      <w:pPr>
        <w:shd w:val="clear" w:color="auto" w:fill="FFFFFF"/>
        <w:autoSpaceDE w:val="0"/>
        <w:autoSpaceDN w:val="0"/>
        <w:adjustRightInd w:val="0"/>
        <w:jc w:val="both"/>
        <w:rPr>
          <w:rFonts w:ascii="Arial" w:eastAsia="Times New Roman" w:hAnsi="Arial" w:cs="Arial"/>
          <w:sz w:val="20"/>
          <w:szCs w:val="20"/>
        </w:rPr>
      </w:pPr>
    </w:p>
    <w:p w14:paraId="7C97E56D" w14:textId="77777777" w:rsidR="007906D0" w:rsidRPr="009F1F75" w:rsidRDefault="007906D0" w:rsidP="007906D0">
      <w:pPr>
        <w:shd w:val="clear" w:color="auto" w:fill="FFFFFF"/>
        <w:autoSpaceDE w:val="0"/>
        <w:autoSpaceDN w:val="0"/>
        <w:adjustRightInd w:val="0"/>
        <w:jc w:val="both"/>
        <w:rPr>
          <w:rFonts w:ascii="Arial" w:eastAsia="Times New Roman" w:hAnsi="Arial" w:cs="Arial"/>
          <w:szCs w:val="20"/>
        </w:rPr>
      </w:pPr>
      <w:r w:rsidRPr="009F1F75">
        <w:rPr>
          <w:rFonts w:ascii="Arial" w:eastAsia="Times New Roman" w:hAnsi="Arial" w:cs="Arial"/>
          <w:szCs w:val="20"/>
        </w:rPr>
        <w:t xml:space="preserve">The authors used </w:t>
      </w:r>
      <w:proofErr w:type="gramStart"/>
      <w:r w:rsidRPr="009F1F75">
        <w:rPr>
          <w:rFonts w:ascii="Arial" w:eastAsia="Times New Roman" w:hAnsi="Arial" w:cs="Arial"/>
          <w:szCs w:val="20"/>
        </w:rPr>
        <w:t>ANOVA</w:t>
      </w:r>
      <w:proofErr w:type="gramEnd"/>
      <w:r w:rsidRPr="009F1F75">
        <w:rPr>
          <w:rFonts w:ascii="Arial" w:eastAsia="Times New Roman" w:hAnsi="Arial" w:cs="Arial"/>
          <w:szCs w:val="20"/>
        </w:rPr>
        <w:t xml:space="preserve"> procedure to examine the statistical significance of differences in average indicator values among clusters. Based on the conducted ANOVA procedure (Table 3), statistically significant differences in average indicator values can be noted, as seen in the Sig. column where P &lt; 0.05 for all CE indicators.</w:t>
      </w:r>
    </w:p>
    <w:p w14:paraId="6A49885F" w14:textId="77777777" w:rsidR="00D8451C" w:rsidRPr="009F1F75" w:rsidRDefault="00D8451C" w:rsidP="00D8451C">
      <w:pPr>
        <w:jc w:val="both"/>
        <w:rPr>
          <w:rFonts w:ascii="Arial" w:hAnsi="Arial" w:cs="Arial"/>
          <w:lang w:val="en-GB"/>
        </w:rPr>
      </w:pPr>
    </w:p>
    <w:p w14:paraId="2201956E" w14:textId="77777777" w:rsidR="00D8451C" w:rsidRPr="009F1F75" w:rsidRDefault="00D8451C" w:rsidP="00D8451C">
      <w:pPr>
        <w:jc w:val="both"/>
        <w:rPr>
          <w:rFonts w:ascii="Arial" w:hAnsi="Arial" w:cs="Arial"/>
          <w:b/>
        </w:rPr>
      </w:pPr>
      <w:r w:rsidRPr="009F1F75">
        <w:rPr>
          <w:rFonts w:ascii="Arial" w:hAnsi="Arial" w:cs="Arial"/>
          <w:b/>
        </w:rPr>
        <w:t xml:space="preserve">CONCLUDING REMARKS </w:t>
      </w:r>
    </w:p>
    <w:p w14:paraId="31CE6C89" w14:textId="77777777" w:rsidR="007906D0" w:rsidRPr="009F1F75" w:rsidRDefault="007906D0" w:rsidP="007906D0">
      <w:pPr>
        <w:jc w:val="both"/>
        <w:rPr>
          <w:rFonts w:ascii="Arial" w:eastAsia="Times New Roman" w:hAnsi="Arial" w:cs="Arial"/>
        </w:rPr>
      </w:pPr>
      <w:r w:rsidRPr="009F1F75">
        <w:rPr>
          <w:rFonts w:ascii="Arial" w:eastAsia="Times New Roman" w:hAnsi="Arial" w:cs="Arial"/>
        </w:rPr>
        <w:t xml:space="preserve">The cluster comprising of Croatia, Estonia, and Latvia exhibits the best performance in the area of circular economy for indicators like the recycling rate of packaging waste by type of packaging, patents related to waste management and recycling, the recycling rate of e-waste, the recycling rate of bio-waste, and the recycling rate of municipal waste, as can be clearly seen from the results of the mean values of the indicators among the clusters. Specifically, four growth directions are defined under the Croatian National growth Strategy 2030 (NDS 2030): balanced regional development, green and digital transformation, enhancing crisis resilience, and sustainable economy and society. In this sense, by guaranteeing a just and inclusive transition to climate neutrality, Croatia will be among the leaders in Europe in transforming environmental and climate-related issues into possibilities. A defined circular economy strategy and action plan have been established by Latvia for the 2020–2027 transition period. The Action Plan's main goal is to offer a framework for policymaking that will enable the nation to move towards a more environmentally friendly economy and help </w:t>
      </w:r>
      <w:proofErr w:type="spellStart"/>
      <w:r w:rsidRPr="009F1F75">
        <w:rPr>
          <w:rFonts w:ascii="Arial" w:eastAsia="Times New Roman" w:hAnsi="Arial" w:cs="Arial"/>
        </w:rPr>
        <w:t>realise</w:t>
      </w:r>
      <w:proofErr w:type="spellEnd"/>
      <w:r w:rsidRPr="009F1F75">
        <w:rPr>
          <w:rFonts w:ascii="Arial" w:eastAsia="Times New Roman" w:hAnsi="Arial" w:cs="Arial"/>
        </w:rPr>
        <w:t xml:space="preserve"> the Sustainable Development Goals (SDGs) and the European Green Deal. It is intended to make sure that the CE is applied wisely in Latvia's economy and society, to encourage more deliberate, accountable, and sustainable resource production and consumption, and to incorporate these fundamental ideas into all sectoral policies concerning resource flows and lifecycle stages. In terms of the EU Circular Economy Monitoring Framework metrics, Estonia has made inconsistent progress thus far, with no notable shifts in recent times. Positive developments include increasing the usage of circular materials and decreasing trash creation. However, increasing recycling rates continues to present challenges. The primary obstacles Estonia has in advancing a circular economy include poor environmental consciousness and societal knowledge of the CE, a lack of collaboration across stakeholders, and the diluting of duties. The creation of garbage has grown in Malta (country-cluster) due to significant increases in tourism, GDP, and overall population between 2010 and 2020. Malta's industrial sector depends heavily on imported goods for both raw materials and finished goods. Italy and Romania have the highest packaging waste generation per capita according to cluster descriptive statistics which is conversely expanding of their circular rate. To enhance circular economy practices, stakeholders should collaborate on aligning national strategies with EU directives. Investments in research and innovation are most important for developing circular solutions and waste management infrastructure. Promoting circular design principles and product lifecycle assessments can drive sustainable production. Capacity-building programs should equip stakeholders with the skills needed for a circular transition. Monitoring frameworks must be established to track progress and assess the effectiveness of circular initiatives. These measures vary between countries and clusters, highlighting the need to dynamically seek optimal solutions for enhancing circularity in today's and </w:t>
      </w:r>
      <w:proofErr w:type="gramStart"/>
      <w:r w:rsidRPr="009F1F75">
        <w:rPr>
          <w:rFonts w:ascii="Arial" w:eastAsia="Times New Roman" w:hAnsi="Arial" w:cs="Arial"/>
        </w:rPr>
        <w:t>future's</w:t>
      </w:r>
      <w:proofErr w:type="gramEnd"/>
      <w:r w:rsidRPr="009F1F75">
        <w:rPr>
          <w:rFonts w:ascii="Arial" w:eastAsia="Times New Roman" w:hAnsi="Arial" w:cs="Arial"/>
        </w:rPr>
        <w:t xml:space="preserve"> evolving conditions.</w:t>
      </w:r>
    </w:p>
    <w:p w14:paraId="572699DC" w14:textId="77777777" w:rsidR="00D8451C" w:rsidRPr="009F1F75" w:rsidRDefault="00D8451C" w:rsidP="00D8451C">
      <w:pPr>
        <w:jc w:val="both"/>
        <w:rPr>
          <w:rFonts w:ascii="Arial" w:hAnsi="Arial" w:cs="Arial"/>
        </w:rPr>
      </w:pPr>
    </w:p>
    <w:p w14:paraId="7EE981CE" w14:textId="77777777" w:rsidR="00D8451C" w:rsidRPr="009F1F75" w:rsidRDefault="007906D0" w:rsidP="009F1F75">
      <w:pPr>
        <w:jc w:val="both"/>
        <w:rPr>
          <w:rFonts w:ascii="Arial" w:eastAsia="Times New Roman" w:hAnsi="Arial" w:cs="Arial"/>
          <w:b/>
          <w:sz w:val="24"/>
        </w:rPr>
      </w:pPr>
      <w:r w:rsidRPr="009F1F75">
        <w:rPr>
          <w:rFonts w:ascii="Arial" w:eastAsia="Times New Roman" w:hAnsi="Arial" w:cs="Arial"/>
          <w:b/>
        </w:rPr>
        <w:t xml:space="preserve">ACKNOWLEDGEMENT </w:t>
      </w:r>
    </w:p>
    <w:p w14:paraId="5F25C9D3" w14:textId="77777777" w:rsidR="007906D0" w:rsidRPr="009F1F75" w:rsidRDefault="007906D0" w:rsidP="009F1F75">
      <w:pPr>
        <w:shd w:val="clear" w:color="auto" w:fill="FFFFFF"/>
        <w:jc w:val="both"/>
        <w:textAlignment w:val="baseline"/>
        <w:rPr>
          <w:rFonts w:ascii="Arial" w:eastAsia="Times New Roman" w:hAnsi="Arial" w:cs="Arial"/>
          <w:color w:val="242424"/>
          <w:szCs w:val="20"/>
        </w:rPr>
      </w:pPr>
      <w:r w:rsidRPr="009F1F75">
        <w:rPr>
          <w:rFonts w:ascii="Arial" w:eastAsia="Times New Roman" w:hAnsi="Arial" w:cs="Arial"/>
          <w:iCs/>
          <w:color w:val="000000"/>
          <w:szCs w:val="20"/>
          <w:bdr w:val="none" w:sz="0" w:space="0" w:color="auto" w:frame="1"/>
        </w:rPr>
        <w:t>This research was financially supported by the Ministry of Science, Technological Development and Innovation of the Republic of Serbia</w:t>
      </w:r>
      <w:r w:rsidRPr="009F1F75">
        <w:rPr>
          <w:rFonts w:ascii="Arial" w:eastAsia="Times New Roman" w:hAnsi="Arial" w:cs="Arial"/>
          <w:i/>
          <w:iCs/>
          <w:color w:val="000000"/>
          <w:szCs w:val="20"/>
          <w:bdr w:val="none" w:sz="0" w:space="0" w:color="auto" w:frame="1"/>
        </w:rPr>
        <w:t xml:space="preserve"> (</w:t>
      </w:r>
      <w:r w:rsidRPr="009F1F75">
        <w:rPr>
          <w:rFonts w:ascii="Arial" w:eastAsia="Times New Roman" w:hAnsi="Arial" w:cs="Arial"/>
          <w:color w:val="242424"/>
          <w:szCs w:val="20"/>
        </w:rPr>
        <w:t xml:space="preserve">Evidence number: </w:t>
      </w:r>
      <w:r w:rsidRPr="009F1F75">
        <w:rPr>
          <w:rFonts w:ascii="Arial" w:eastAsia="Times New Roman" w:hAnsi="Arial" w:cs="Arial"/>
          <w:i/>
          <w:color w:val="242424"/>
          <w:szCs w:val="20"/>
        </w:rPr>
        <w:t>451-03-66/2024-03/ 200371</w:t>
      </w:r>
      <w:r w:rsidRPr="009F1F75">
        <w:rPr>
          <w:rFonts w:ascii="Arial" w:eastAsia="Times New Roman" w:hAnsi="Arial" w:cs="Arial"/>
          <w:color w:val="242424"/>
          <w:szCs w:val="20"/>
        </w:rPr>
        <w:t>) </w:t>
      </w:r>
    </w:p>
    <w:p w14:paraId="47BC8595" w14:textId="77777777" w:rsidR="00D8451C" w:rsidRPr="009F1F75" w:rsidRDefault="00D8451C" w:rsidP="00D8451C">
      <w:pPr>
        <w:jc w:val="both"/>
        <w:rPr>
          <w:rFonts w:ascii="Arial" w:hAnsi="Arial" w:cs="Arial"/>
        </w:rPr>
      </w:pPr>
    </w:p>
    <w:p w14:paraId="265D8E7B" w14:textId="77777777" w:rsidR="00D8451C" w:rsidRPr="009F1F75" w:rsidRDefault="00D8451C" w:rsidP="00D8451C">
      <w:pPr>
        <w:jc w:val="both"/>
        <w:rPr>
          <w:rFonts w:ascii="Arial" w:hAnsi="Arial" w:cs="Arial"/>
          <w:b/>
          <w:lang w:val="en-GB"/>
        </w:rPr>
      </w:pPr>
      <w:r w:rsidRPr="009F1F75">
        <w:rPr>
          <w:rFonts w:ascii="Arial" w:hAnsi="Arial" w:cs="Arial"/>
          <w:b/>
          <w:lang w:val="en-GB"/>
        </w:rPr>
        <w:t>REFERENCES</w:t>
      </w:r>
    </w:p>
    <w:p w14:paraId="6E2FC6FE" w14:textId="77777777" w:rsidR="00D8451C" w:rsidRPr="009F1F75" w:rsidRDefault="00D8451C" w:rsidP="007906D0">
      <w:pPr>
        <w:autoSpaceDE w:val="0"/>
        <w:autoSpaceDN w:val="0"/>
        <w:adjustRightInd w:val="0"/>
        <w:ind w:left="720" w:hanging="720"/>
        <w:jc w:val="both"/>
        <w:rPr>
          <w:rFonts w:ascii="Arial" w:eastAsia="Times New Roman" w:hAnsi="Arial" w:cs="Arial"/>
          <w:bCs/>
          <w:sz w:val="20"/>
          <w:lang w:eastAsia="mk-MK"/>
        </w:rPr>
      </w:pPr>
      <w:r w:rsidRPr="009F1F75">
        <w:rPr>
          <w:rFonts w:ascii="Arial" w:eastAsia="Times New Roman" w:hAnsi="Arial" w:cs="Arial"/>
          <w:sz w:val="20"/>
          <w:lang w:eastAsia="mk-MK"/>
        </w:rPr>
        <w:t xml:space="preserve"> </w:t>
      </w:r>
    </w:p>
    <w:p w14:paraId="39F1F4F6" w14:textId="77777777" w:rsidR="007906D0" w:rsidRPr="009F1F75" w:rsidRDefault="007906D0" w:rsidP="007906D0">
      <w:pPr>
        <w:spacing w:line="293" w:lineRule="atLeast"/>
        <w:jc w:val="both"/>
        <w:rPr>
          <w:rFonts w:ascii="Arial" w:hAnsi="Arial" w:cs="Arial"/>
          <w:szCs w:val="23"/>
        </w:rPr>
      </w:pPr>
      <w:r w:rsidRPr="009F1F75">
        <w:rPr>
          <w:rFonts w:ascii="Arial" w:hAnsi="Arial" w:cs="Arial"/>
          <w:szCs w:val="23"/>
        </w:rPr>
        <w:lastRenderedPageBreak/>
        <w:t xml:space="preserve">Alberich, J. P., </w:t>
      </w:r>
      <w:proofErr w:type="spellStart"/>
      <w:r w:rsidRPr="009F1F75">
        <w:rPr>
          <w:rFonts w:ascii="Arial" w:hAnsi="Arial" w:cs="Arial"/>
          <w:szCs w:val="23"/>
        </w:rPr>
        <w:t>Pansera</w:t>
      </w:r>
      <w:proofErr w:type="spellEnd"/>
      <w:r w:rsidRPr="009F1F75">
        <w:rPr>
          <w:rFonts w:ascii="Arial" w:hAnsi="Arial" w:cs="Arial"/>
          <w:szCs w:val="23"/>
        </w:rPr>
        <w:t>, M., &amp; Hartley, S. (2023). Understanding the EU's circular economy policies through futures of circularity. Journal of Cleaner Production, pp. 385</w:t>
      </w:r>
    </w:p>
    <w:p w14:paraId="124F506B" w14:textId="77777777" w:rsidR="007906D0" w:rsidRPr="009F1F75" w:rsidRDefault="007906D0" w:rsidP="007906D0">
      <w:pPr>
        <w:spacing w:line="293" w:lineRule="atLeast"/>
        <w:jc w:val="both"/>
        <w:rPr>
          <w:rFonts w:ascii="Arial" w:hAnsi="Arial" w:cs="Arial"/>
          <w:szCs w:val="23"/>
        </w:rPr>
      </w:pPr>
      <w:proofErr w:type="spellStart"/>
      <w:r w:rsidRPr="009F1F75">
        <w:rPr>
          <w:rFonts w:ascii="Arial" w:hAnsi="Arial" w:cs="Arial"/>
          <w:szCs w:val="23"/>
        </w:rPr>
        <w:t>Boonman</w:t>
      </w:r>
      <w:proofErr w:type="spellEnd"/>
      <w:r w:rsidRPr="009F1F75">
        <w:rPr>
          <w:rFonts w:ascii="Arial" w:hAnsi="Arial" w:cs="Arial"/>
          <w:szCs w:val="23"/>
        </w:rPr>
        <w:t xml:space="preserve">, H., </w:t>
      </w:r>
      <w:proofErr w:type="spellStart"/>
      <w:r w:rsidRPr="009F1F75">
        <w:rPr>
          <w:rFonts w:ascii="Arial" w:hAnsi="Arial" w:cs="Arial"/>
          <w:szCs w:val="23"/>
        </w:rPr>
        <w:t>Verstraten</w:t>
      </w:r>
      <w:proofErr w:type="spellEnd"/>
      <w:r w:rsidRPr="009F1F75">
        <w:rPr>
          <w:rFonts w:ascii="Arial" w:hAnsi="Arial" w:cs="Arial"/>
          <w:szCs w:val="23"/>
        </w:rPr>
        <w:t xml:space="preserve">, P., &amp; van der </w:t>
      </w:r>
      <w:proofErr w:type="spellStart"/>
      <w:r w:rsidRPr="009F1F75">
        <w:rPr>
          <w:rFonts w:ascii="Arial" w:hAnsi="Arial" w:cs="Arial"/>
          <w:szCs w:val="23"/>
        </w:rPr>
        <w:t>Weijde</w:t>
      </w:r>
      <w:proofErr w:type="spellEnd"/>
      <w:r w:rsidRPr="009F1F75">
        <w:rPr>
          <w:rFonts w:ascii="Arial" w:hAnsi="Arial" w:cs="Arial"/>
          <w:szCs w:val="23"/>
        </w:rPr>
        <w:t>, A. H. (2023). Macroeconomic and environmental impacts of circular economy innovation policy. Sustainable Production and Consumption, 35, pp.216-228.</w:t>
      </w:r>
    </w:p>
    <w:p w14:paraId="07CCE48D" w14:textId="77777777" w:rsidR="007906D0" w:rsidRPr="009F1F75" w:rsidRDefault="007906D0" w:rsidP="007906D0">
      <w:pPr>
        <w:spacing w:line="293" w:lineRule="atLeast"/>
        <w:jc w:val="both"/>
        <w:rPr>
          <w:rFonts w:ascii="Arial" w:hAnsi="Arial" w:cs="Arial"/>
          <w:szCs w:val="23"/>
        </w:rPr>
      </w:pPr>
      <w:r w:rsidRPr="009F1F75">
        <w:rPr>
          <w:rFonts w:ascii="Arial" w:hAnsi="Arial" w:cs="Arial"/>
          <w:szCs w:val="23"/>
        </w:rPr>
        <w:t>Eurostat (2024, February, cei_srm030). Circular material use rate.</w:t>
      </w:r>
    </w:p>
    <w:p w14:paraId="5A68BA3B" w14:textId="77777777" w:rsidR="007906D0" w:rsidRPr="009F1F75" w:rsidRDefault="007906D0" w:rsidP="007906D0">
      <w:pPr>
        <w:spacing w:line="293" w:lineRule="atLeast"/>
        <w:jc w:val="both"/>
        <w:rPr>
          <w:rFonts w:ascii="Arial" w:hAnsi="Arial" w:cs="Arial"/>
          <w:szCs w:val="23"/>
        </w:rPr>
      </w:pPr>
      <w:r w:rsidRPr="009F1F75">
        <w:rPr>
          <w:rFonts w:ascii="Arial" w:hAnsi="Arial" w:cs="Arial"/>
          <w:szCs w:val="23"/>
        </w:rPr>
        <w:t xml:space="preserve">https://ec.europa.eu/eurostat/cache/metadata/en/cei_srm030_esmsip2.htm </w:t>
      </w:r>
    </w:p>
    <w:p w14:paraId="7EBD4E6F" w14:textId="77777777" w:rsidR="007906D0" w:rsidRPr="009F1F75" w:rsidRDefault="007906D0" w:rsidP="007906D0">
      <w:pPr>
        <w:spacing w:line="293" w:lineRule="atLeast"/>
        <w:jc w:val="both"/>
        <w:rPr>
          <w:rFonts w:ascii="Arial" w:hAnsi="Arial" w:cs="Arial"/>
          <w:szCs w:val="23"/>
        </w:rPr>
      </w:pPr>
      <w:r w:rsidRPr="009F1F75">
        <w:rPr>
          <w:rFonts w:ascii="Arial" w:hAnsi="Arial" w:cs="Arial"/>
          <w:szCs w:val="23"/>
        </w:rPr>
        <w:t>Eurostat (2024, February, cei_pc031). Generation of municipal waste per capita.</w:t>
      </w:r>
    </w:p>
    <w:p w14:paraId="3F76F2D5" w14:textId="77777777" w:rsidR="007906D0" w:rsidRPr="009F1F75" w:rsidRDefault="007906D0" w:rsidP="007906D0">
      <w:pPr>
        <w:spacing w:line="293" w:lineRule="atLeast"/>
        <w:jc w:val="both"/>
        <w:rPr>
          <w:rFonts w:ascii="Arial" w:hAnsi="Arial" w:cs="Arial"/>
          <w:szCs w:val="23"/>
        </w:rPr>
      </w:pPr>
      <w:r w:rsidRPr="009F1F75">
        <w:rPr>
          <w:rFonts w:ascii="Arial" w:hAnsi="Arial" w:cs="Arial"/>
          <w:szCs w:val="23"/>
        </w:rPr>
        <w:t xml:space="preserve">https://ec.europa.eu/eurostat/cache/metadata/en/cei_pc031_esmsip2.htm </w:t>
      </w:r>
    </w:p>
    <w:p w14:paraId="514EAE9E" w14:textId="77777777" w:rsidR="007906D0" w:rsidRPr="009F1F75" w:rsidRDefault="007906D0" w:rsidP="007906D0">
      <w:pPr>
        <w:spacing w:line="293" w:lineRule="atLeast"/>
        <w:jc w:val="both"/>
        <w:rPr>
          <w:rFonts w:ascii="Arial" w:hAnsi="Arial" w:cs="Arial"/>
          <w:szCs w:val="23"/>
        </w:rPr>
      </w:pPr>
      <w:r w:rsidRPr="009F1F75">
        <w:rPr>
          <w:rFonts w:ascii="Arial" w:hAnsi="Arial" w:cs="Arial"/>
          <w:szCs w:val="23"/>
        </w:rPr>
        <w:t xml:space="preserve">Eurostat (2024, February, cei_pc040). Generation of packaging waste per capita. </w:t>
      </w:r>
    </w:p>
    <w:p w14:paraId="528DCA0D" w14:textId="77777777" w:rsidR="007906D0" w:rsidRPr="009F1F75" w:rsidRDefault="007906D0" w:rsidP="007906D0">
      <w:pPr>
        <w:spacing w:line="293" w:lineRule="atLeast"/>
        <w:jc w:val="both"/>
        <w:rPr>
          <w:rFonts w:ascii="Arial" w:hAnsi="Arial" w:cs="Arial"/>
          <w:szCs w:val="23"/>
        </w:rPr>
      </w:pPr>
      <w:r w:rsidRPr="009F1F75">
        <w:rPr>
          <w:rFonts w:ascii="Arial" w:hAnsi="Arial" w:cs="Arial"/>
          <w:szCs w:val="23"/>
        </w:rPr>
        <w:t xml:space="preserve">https://ec.europa.eu/eurostat/cache/metadata/en/cei_pc040_esmsip2.htm </w:t>
      </w:r>
    </w:p>
    <w:p w14:paraId="248D28B8" w14:textId="77777777" w:rsidR="007906D0" w:rsidRPr="009F1F75" w:rsidRDefault="007906D0" w:rsidP="007906D0">
      <w:pPr>
        <w:spacing w:line="293" w:lineRule="atLeast"/>
        <w:jc w:val="both"/>
        <w:rPr>
          <w:rFonts w:ascii="Arial" w:hAnsi="Arial" w:cs="Arial"/>
          <w:szCs w:val="23"/>
        </w:rPr>
      </w:pPr>
      <w:r w:rsidRPr="009F1F75">
        <w:rPr>
          <w:rFonts w:ascii="Arial" w:hAnsi="Arial" w:cs="Arial"/>
          <w:szCs w:val="23"/>
        </w:rPr>
        <w:t xml:space="preserve">Eurostat (2024, February, cei_pc040). Recycling bio-waste. https://datahub.digicirc.eu/dataset/recycling-of-biowaste/resource/7f590b4f-a9f0-4bf8-98c3-71d809657085?view_id=804f0b78-a78a-482e-85e5-30cc4dd030c6 </w:t>
      </w:r>
    </w:p>
    <w:p w14:paraId="565FE612" w14:textId="77777777" w:rsidR="007906D0" w:rsidRPr="009F1F75" w:rsidRDefault="007906D0" w:rsidP="007906D0">
      <w:pPr>
        <w:spacing w:line="293" w:lineRule="atLeast"/>
        <w:jc w:val="both"/>
        <w:rPr>
          <w:rFonts w:ascii="Arial" w:hAnsi="Arial" w:cs="Arial"/>
          <w:szCs w:val="23"/>
        </w:rPr>
      </w:pPr>
      <w:r w:rsidRPr="009F1F75">
        <w:rPr>
          <w:rFonts w:ascii="Arial" w:hAnsi="Arial" w:cs="Arial"/>
          <w:szCs w:val="23"/>
        </w:rPr>
        <w:t>Eurostat (2024, February, cei_wm050). Recycling rate of e-waste.</w:t>
      </w:r>
    </w:p>
    <w:p w14:paraId="380A2877" w14:textId="77777777" w:rsidR="007906D0" w:rsidRPr="009F1F75" w:rsidRDefault="007906D0" w:rsidP="007906D0">
      <w:pPr>
        <w:spacing w:line="293" w:lineRule="atLeast"/>
        <w:jc w:val="both"/>
        <w:rPr>
          <w:rFonts w:ascii="Arial" w:hAnsi="Arial" w:cs="Arial"/>
          <w:szCs w:val="23"/>
        </w:rPr>
      </w:pPr>
      <w:r w:rsidRPr="009F1F75">
        <w:rPr>
          <w:rFonts w:ascii="Arial" w:hAnsi="Arial" w:cs="Arial"/>
          <w:szCs w:val="23"/>
        </w:rPr>
        <w:t xml:space="preserve">https://ec.europa.eu/eurostat/databrowser/view/cei_wm050/default/table?lang=en </w:t>
      </w:r>
    </w:p>
    <w:p w14:paraId="78BF3498" w14:textId="77777777" w:rsidR="007906D0" w:rsidRPr="009F1F75" w:rsidRDefault="007906D0" w:rsidP="007906D0">
      <w:pPr>
        <w:spacing w:line="293" w:lineRule="atLeast"/>
        <w:jc w:val="both"/>
        <w:rPr>
          <w:rFonts w:ascii="Arial" w:hAnsi="Arial" w:cs="Arial"/>
          <w:szCs w:val="23"/>
        </w:rPr>
      </w:pPr>
      <w:r w:rsidRPr="009F1F75">
        <w:rPr>
          <w:rFonts w:ascii="Arial" w:hAnsi="Arial" w:cs="Arial"/>
          <w:szCs w:val="23"/>
        </w:rPr>
        <w:t>Eurostat (2024, February, cei_wm011). Recycling rate of municipal waste.</w:t>
      </w:r>
    </w:p>
    <w:p w14:paraId="5A51A37A" w14:textId="77777777" w:rsidR="007906D0" w:rsidRPr="009F1F75" w:rsidRDefault="007906D0" w:rsidP="007906D0">
      <w:pPr>
        <w:spacing w:line="293" w:lineRule="atLeast"/>
        <w:jc w:val="both"/>
        <w:rPr>
          <w:rFonts w:ascii="Arial" w:hAnsi="Arial" w:cs="Arial"/>
          <w:szCs w:val="23"/>
        </w:rPr>
      </w:pPr>
      <w:r w:rsidRPr="009F1F75">
        <w:rPr>
          <w:rFonts w:ascii="Arial" w:hAnsi="Arial" w:cs="Arial"/>
          <w:szCs w:val="23"/>
        </w:rPr>
        <w:t xml:space="preserve">https://ec.europa.eu/eurostat/cache/metadata/en/cei_wm011_esmsip2.htm </w:t>
      </w:r>
    </w:p>
    <w:p w14:paraId="08F96DB2" w14:textId="77777777" w:rsidR="007906D0" w:rsidRPr="009F1F75" w:rsidRDefault="007906D0" w:rsidP="007906D0">
      <w:pPr>
        <w:spacing w:line="293" w:lineRule="atLeast"/>
        <w:jc w:val="both"/>
        <w:rPr>
          <w:rFonts w:ascii="Arial" w:hAnsi="Arial" w:cs="Arial"/>
          <w:szCs w:val="23"/>
        </w:rPr>
      </w:pPr>
      <w:r w:rsidRPr="009F1F75">
        <w:rPr>
          <w:rFonts w:ascii="Arial" w:hAnsi="Arial" w:cs="Arial"/>
          <w:szCs w:val="23"/>
        </w:rPr>
        <w:t xml:space="preserve">Eurostat (2024, February, cei_wm020). Recycling rate of packaging waste by type of packaging. </w:t>
      </w:r>
    </w:p>
    <w:p w14:paraId="63F1E821" w14:textId="77777777" w:rsidR="007906D0" w:rsidRPr="009F1F75" w:rsidRDefault="007906D0" w:rsidP="007906D0">
      <w:pPr>
        <w:spacing w:line="293" w:lineRule="atLeast"/>
        <w:jc w:val="both"/>
        <w:rPr>
          <w:rFonts w:ascii="Arial" w:hAnsi="Arial" w:cs="Arial"/>
          <w:szCs w:val="23"/>
        </w:rPr>
      </w:pPr>
      <w:r w:rsidRPr="009F1F75">
        <w:rPr>
          <w:rFonts w:ascii="Arial" w:hAnsi="Arial" w:cs="Arial"/>
          <w:szCs w:val="23"/>
        </w:rPr>
        <w:t xml:space="preserve">https://ec.europa.eu/eurostat/cache/metadata/en/cei_wm020_esmsip2.htm </w:t>
      </w:r>
    </w:p>
    <w:p w14:paraId="5263291B" w14:textId="77777777" w:rsidR="007906D0" w:rsidRPr="009F1F75" w:rsidRDefault="007906D0" w:rsidP="007906D0">
      <w:pPr>
        <w:spacing w:line="293" w:lineRule="atLeast"/>
        <w:jc w:val="both"/>
        <w:rPr>
          <w:rFonts w:ascii="Arial" w:hAnsi="Arial" w:cs="Arial"/>
          <w:szCs w:val="23"/>
        </w:rPr>
      </w:pPr>
      <w:r w:rsidRPr="009F1F75">
        <w:rPr>
          <w:rFonts w:ascii="Arial" w:hAnsi="Arial" w:cs="Arial"/>
          <w:szCs w:val="23"/>
        </w:rPr>
        <w:t>Eurostat (2024, February, cie_cie020). Patents related to waste management and recycling.</w:t>
      </w:r>
    </w:p>
    <w:p w14:paraId="412CD8F6" w14:textId="77777777" w:rsidR="007906D0" w:rsidRPr="009F1F75" w:rsidRDefault="007906D0" w:rsidP="007906D0">
      <w:pPr>
        <w:spacing w:line="293" w:lineRule="atLeast"/>
        <w:jc w:val="both"/>
        <w:rPr>
          <w:rFonts w:ascii="Arial" w:hAnsi="Arial" w:cs="Arial"/>
          <w:szCs w:val="23"/>
        </w:rPr>
      </w:pPr>
      <w:r w:rsidRPr="009F1F75">
        <w:rPr>
          <w:rFonts w:ascii="Arial" w:hAnsi="Arial" w:cs="Arial"/>
          <w:szCs w:val="23"/>
        </w:rPr>
        <w:t xml:space="preserve">https://ec.europa.eu/eurostat/cache/metadata/en/cei_cie020_esmsip2.htm </w:t>
      </w:r>
    </w:p>
    <w:p w14:paraId="708C1B46" w14:textId="77777777" w:rsidR="007906D0" w:rsidRPr="009F1F75" w:rsidRDefault="007906D0" w:rsidP="007906D0">
      <w:pPr>
        <w:spacing w:line="293" w:lineRule="atLeast"/>
        <w:jc w:val="both"/>
        <w:rPr>
          <w:rFonts w:ascii="Arial" w:hAnsi="Arial" w:cs="Arial"/>
          <w:szCs w:val="23"/>
        </w:rPr>
      </w:pPr>
      <w:r w:rsidRPr="009F1F75">
        <w:rPr>
          <w:rFonts w:ascii="Arial" w:hAnsi="Arial" w:cs="Arial"/>
          <w:szCs w:val="23"/>
        </w:rPr>
        <w:t xml:space="preserve">Fanelli, R.M.  (2018) The (Un)Sustainability of the Land Use Practices and Agricultural Production in EU </w:t>
      </w:r>
      <w:proofErr w:type="gramStart"/>
      <w:r w:rsidRPr="009F1F75">
        <w:rPr>
          <w:rFonts w:ascii="Arial" w:hAnsi="Arial" w:cs="Arial"/>
          <w:szCs w:val="23"/>
        </w:rPr>
        <w:t>Countries“</w:t>
      </w:r>
      <w:proofErr w:type="gramEnd"/>
      <w:r w:rsidRPr="009F1F75">
        <w:rPr>
          <w:rFonts w:ascii="Arial" w:hAnsi="Arial" w:cs="Arial"/>
          <w:szCs w:val="23"/>
        </w:rPr>
        <w:t xml:space="preserve">, International Journal of Environmental Studies, 76(2), pp. 273–294., https://doi.org/10.1080/00207233.2018.1560761 </w:t>
      </w:r>
    </w:p>
    <w:p w14:paraId="49FF3853" w14:textId="77777777" w:rsidR="007906D0" w:rsidRPr="009F1F75" w:rsidRDefault="007906D0" w:rsidP="007906D0">
      <w:pPr>
        <w:spacing w:line="293" w:lineRule="atLeast"/>
        <w:jc w:val="both"/>
        <w:rPr>
          <w:rFonts w:ascii="Arial" w:hAnsi="Arial" w:cs="Arial"/>
          <w:szCs w:val="23"/>
        </w:rPr>
      </w:pPr>
      <w:proofErr w:type="spellStart"/>
      <w:r w:rsidRPr="009F1F75">
        <w:rPr>
          <w:rFonts w:ascii="Arial" w:hAnsi="Arial" w:cs="Arial"/>
          <w:szCs w:val="23"/>
        </w:rPr>
        <w:t>Geissdoerfer</w:t>
      </w:r>
      <w:proofErr w:type="spellEnd"/>
      <w:r w:rsidRPr="009F1F75">
        <w:rPr>
          <w:rFonts w:ascii="Arial" w:hAnsi="Arial" w:cs="Arial"/>
          <w:szCs w:val="23"/>
        </w:rPr>
        <w:t xml:space="preserve">, M., Pieroni, M. P., </w:t>
      </w:r>
      <w:proofErr w:type="spellStart"/>
      <w:r w:rsidRPr="009F1F75">
        <w:rPr>
          <w:rFonts w:ascii="Arial" w:hAnsi="Arial" w:cs="Arial"/>
          <w:szCs w:val="23"/>
        </w:rPr>
        <w:t>Pigosso</w:t>
      </w:r>
      <w:proofErr w:type="spellEnd"/>
      <w:r w:rsidRPr="009F1F75">
        <w:rPr>
          <w:rFonts w:ascii="Arial" w:hAnsi="Arial" w:cs="Arial"/>
          <w:szCs w:val="23"/>
        </w:rPr>
        <w:t xml:space="preserve">, D. C., &amp; </w:t>
      </w:r>
      <w:proofErr w:type="spellStart"/>
      <w:r w:rsidRPr="009F1F75">
        <w:rPr>
          <w:rFonts w:ascii="Arial" w:hAnsi="Arial" w:cs="Arial"/>
          <w:szCs w:val="23"/>
        </w:rPr>
        <w:t>Soufani</w:t>
      </w:r>
      <w:proofErr w:type="spellEnd"/>
      <w:r w:rsidRPr="009F1F75">
        <w:rPr>
          <w:rFonts w:ascii="Arial" w:hAnsi="Arial" w:cs="Arial"/>
          <w:szCs w:val="23"/>
        </w:rPr>
        <w:t>, K. (2020). Circular business models: A review. Journal of cleaner production, 277, pp.1-15</w:t>
      </w:r>
    </w:p>
    <w:p w14:paraId="5F20B792" w14:textId="77777777" w:rsidR="007906D0" w:rsidRPr="009F1F75" w:rsidRDefault="007906D0" w:rsidP="007906D0">
      <w:pPr>
        <w:spacing w:line="293" w:lineRule="atLeast"/>
        <w:jc w:val="both"/>
        <w:rPr>
          <w:rFonts w:ascii="Arial" w:hAnsi="Arial" w:cs="Arial"/>
          <w:szCs w:val="23"/>
        </w:rPr>
      </w:pPr>
      <w:r w:rsidRPr="009F1F75">
        <w:rPr>
          <w:rFonts w:ascii="Arial" w:hAnsi="Arial" w:cs="Arial"/>
          <w:szCs w:val="23"/>
        </w:rPr>
        <w:t>Korhonen, J., Nuur, C., Feldmann, A., &amp; Birkie, S. E. (2018). Circular economy as an essentially contested concept. Journal of cleaner production, 175, pp.544-552.</w:t>
      </w:r>
    </w:p>
    <w:p w14:paraId="052F39B4" w14:textId="77777777" w:rsidR="007906D0" w:rsidRPr="009F1F75" w:rsidRDefault="007906D0" w:rsidP="007906D0">
      <w:pPr>
        <w:spacing w:line="293" w:lineRule="atLeast"/>
        <w:jc w:val="both"/>
        <w:rPr>
          <w:rFonts w:ascii="Arial" w:hAnsi="Arial" w:cs="Arial"/>
          <w:szCs w:val="23"/>
        </w:rPr>
      </w:pPr>
      <w:r w:rsidRPr="009F1F75">
        <w:rPr>
          <w:rFonts w:ascii="Arial" w:hAnsi="Arial" w:cs="Arial"/>
          <w:szCs w:val="23"/>
        </w:rPr>
        <w:t>Neves, S. A., &amp; Marques, A. C. (2022). Drivers and barriers in the transition from a linear economy to a circular economy. Journal of Cleaner Production, 341</w:t>
      </w:r>
    </w:p>
    <w:p w14:paraId="7FC563D0" w14:textId="77777777" w:rsidR="007906D0" w:rsidRPr="009F1F75" w:rsidRDefault="007906D0" w:rsidP="007906D0">
      <w:pPr>
        <w:spacing w:line="293" w:lineRule="atLeast"/>
        <w:jc w:val="both"/>
        <w:rPr>
          <w:rFonts w:ascii="Arial" w:hAnsi="Arial" w:cs="Arial"/>
          <w:szCs w:val="23"/>
        </w:rPr>
      </w:pPr>
      <w:r w:rsidRPr="009F1F75">
        <w:rPr>
          <w:rFonts w:ascii="Arial" w:hAnsi="Arial" w:cs="Arial"/>
          <w:szCs w:val="23"/>
        </w:rPr>
        <w:t xml:space="preserve">Nunes, A. M. M., Coelho Junior, L. M., Abrahão, R., Santos Júnior, E. P., </w:t>
      </w:r>
      <w:proofErr w:type="spellStart"/>
      <w:r w:rsidRPr="009F1F75">
        <w:rPr>
          <w:rFonts w:ascii="Arial" w:hAnsi="Arial" w:cs="Arial"/>
          <w:szCs w:val="23"/>
        </w:rPr>
        <w:t>Simioni</w:t>
      </w:r>
      <w:proofErr w:type="spellEnd"/>
      <w:r w:rsidRPr="009F1F75">
        <w:rPr>
          <w:rFonts w:ascii="Arial" w:hAnsi="Arial" w:cs="Arial"/>
          <w:szCs w:val="23"/>
        </w:rPr>
        <w:t>, F. J., Rotella Junior, P., &amp; Rocha, L. C. S. (2023). Public Policies for Renewable Energy: A Review of the Perspectives for a Circular Economy. Energies, 16(1), pp.485.</w:t>
      </w:r>
    </w:p>
    <w:p w14:paraId="52930FF5" w14:textId="77777777" w:rsidR="007906D0" w:rsidRPr="009F1F75" w:rsidRDefault="007906D0" w:rsidP="007906D0">
      <w:pPr>
        <w:spacing w:line="293" w:lineRule="atLeast"/>
        <w:jc w:val="both"/>
        <w:rPr>
          <w:rFonts w:ascii="Arial" w:hAnsi="Arial" w:cs="Arial"/>
          <w:szCs w:val="23"/>
        </w:rPr>
      </w:pPr>
      <w:r w:rsidRPr="009F1F75">
        <w:rPr>
          <w:rFonts w:ascii="Arial" w:hAnsi="Arial" w:cs="Arial"/>
          <w:szCs w:val="23"/>
        </w:rPr>
        <w:t xml:space="preserve">Prieto-Sandoval, V., Jaca, C., &amp; </w:t>
      </w:r>
      <w:proofErr w:type="spellStart"/>
      <w:r w:rsidRPr="009F1F75">
        <w:rPr>
          <w:rFonts w:ascii="Arial" w:hAnsi="Arial" w:cs="Arial"/>
          <w:szCs w:val="23"/>
        </w:rPr>
        <w:t>Ormazabal</w:t>
      </w:r>
      <w:proofErr w:type="spellEnd"/>
      <w:r w:rsidRPr="009F1F75">
        <w:rPr>
          <w:rFonts w:ascii="Arial" w:hAnsi="Arial" w:cs="Arial"/>
          <w:szCs w:val="23"/>
        </w:rPr>
        <w:t>, M. (2018). Towards a consensus on the circular economy. Journal of cleaner production, 179, pp.605-615.</w:t>
      </w:r>
    </w:p>
    <w:p w14:paraId="6ED80B55" w14:textId="77777777" w:rsidR="007906D0" w:rsidRPr="009F1F75" w:rsidRDefault="007906D0" w:rsidP="007906D0">
      <w:pPr>
        <w:spacing w:line="293" w:lineRule="atLeast"/>
        <w:jc w:val="both"/>
        <w:rPr>
          <w:rFonts w:ascii="Arial" w:hAnsi="Arial" w:cs="Arial"/>
          <w:szCs w:val="23"/>
        </w:rPr>
      </w:pPr>
      <w:r w:rsidRPr="009F1F75">
        <w:rPr>
          <w:rFonts w:ascii="Arial" w:hAnsi="Arial" w:cs="Arial"/>
          <w:szCs w:val="23"/>
        </w:rPr>
        <w:t xml:space="preserve">Rađenović, Ž., Krstić, B., </w:t>
      </w:r>
      <w:proofErr w:type="gramStart"/>
      <w:r w:rsidRPr="009F1F75">
        <w:rPr>
          <w:rFonts w:ascii="Arial" w:hAnsi="Arial" w:cs="Arial"/>
          <w:szCs w:val="23"/>
        </w:rPr>
        <w:t>&amp;  Marković</w:t>
      </w:r>
      <w:proofErr w:type="gramEnd"/>
      <w:r w:rsidRPr="009F1F75">
        <w:rPr>
          <w:rFonts w:ascii="Arial" w:hAnsi="Arial" w:cs="Arial"/>
          <w:szCs w:val="23"/>
        </w:rPr>
        <w:t xml:space="preserve">, M., (2022) Economic Performance of Agriculture in the European Union Countries, Problems of Agricultural Economics, 370(1), pp.5-21, https://doi.org/10.30858/zer/145686 </w:t>
      </w:r>
    </w:p>
    <w:p w14:paraId="7137BA35" w14:textId="77777777" w:rsidR="007906D0" w:rsidRPr="009F1F75" w:rsidRDefault="007906D0" w:rsidP="007906D0">
      <w:pPr>
        <w:spacing w:line="293" w:lineRule="atLeast"/>
        <w:jc w:val="both"/>
        <w:rPr>
          <w:rFonts w:ascii="Arial" w:hAnsi="Arial" w:cs="Arial"/>
          <w:szCs w:val="23"/>
        </w:rPr>
      </w:pPr>
      <w:r w:rsidRPr="009F1F75">
        <w:rPr>
          <w:rFonts w:ascii="Arial" w:hAnsi="Arial" w:cs="Arial"/>
          <w:szCs w:val="23"/>
        </w:rPr>
        <w:t xml:space="preserve">Reiff, M., </w:t>
      </w:r>
      <w:proofErr w:type="spellStart"/>
      <w:r w:rsidRPr="009F1F75">
        <w:rPr>
          <w:rFonts w:ascii="Arial" w:hAnsi="Arial" w:cs="Arial"/>
          <w:szCs w:val="23"/>
        </w:rPr>
        <w:t>Ivanicova</w:t>
      </w:r>
      <w:proofErr w:type="spellEnd"/>
      <w:r w:rsidRPr="009F1F75">
        <w:rPr>
          <w:rFonts w:ascii="Arial" w:hAnsi="Arial" w:cs="Arial"/>
          <w:szCs w:val="23"/>
        </w:rPr>
        <w:t xml:space="preserve">, Z., </w:t>
      </w:r>
      <w:proofErr w:type="gramStart"/>
      <w:r w:rsidRPr="009F1F75">
        <w:rPr>
          <w:rFonts w:ascii="Arial" w:hAnsi="Arial" w:cs="Arial"/>
          <w:szCs w:val="23"/>
        </w:rPr>
        <w:t xml:space="preserve">&amp;  </w:t>
      </w:r>
      <w:proofErr w:type="spellStart"/>
      <w:r w:rsidRPr="009F1F75">
        <w:rPr>
          <w:rFonts w:ascii="Arial" w:hAnsi="Arial" w:cs="Arial"/>
          <w:szCs w:val="23"/>
        </w:rPr>
        <w:t>Surmanova</w:t>
      </w:r>
      <w:proofErr w:type="spellEnd"/>
      <w:proofErr w:type="gramEnd"/>
      <w:r w:rsidRPr="009F1F75">
        <w:rPr>
          <w:rFonts w:ascii="Arial" w:hAnsi="Arial" w:cs="Arial"/>
          <w:szCs w:val="23"/>
        </w:rPr>
        <w:t xml:space="preserve">, K., (2018) Cluster analysis of selected world development indicators in the fields of agriculture and the food industry in European Union countries. Agric. Econ. – Czech, 64, pp. 197–205., https://doi.org/10.17221/198/2016-AGRICECON  </w:t>
      </w:r>
    </w:p>
    <w:p w14:paraId="01EF66B0" w14:textId="77777777" w:rsidR="007906D0" w:rsidRPr="009F1F75" w:rsidRDefault="007906D0" w:rsidP="007906D0">
      <w:pPr>
        <w:spacing w:line="293" w:lineRule="atLeast"/>
        <w:jc w:val="both"/>
        <w:rPr>
          <w:rFonts w:ascii="Arial" w:hAnsi="Arial" w:cs="Arial"/>
          <w:szCs w:val="23"/>
        </w:rPr>
      </w:pPr>
      <w:r w:rsidRPr="009F1F75">
        <w:rPr>
          <w:rFonts w:ascii="Arial" w:hAnsi="Arial" w:cs="Arial"/>
          <w:szCs w:val="23"/>
        </w:rPr>
        <w:lastRenderedPageBreak/>
        <w:t>Ren, Q., &amp; Albrecht, J. (2023). Toward circular economy: The impact of policy instruments on circular economy innovation for European small medium enterprises, Ecological Economics, 207, pp.107-761.</w:t>
      </w:r>
    </w:p>
    <w:p w14:paraId="584322E9" w14:textId="77777777" w:rsidR="007906D0" w:rsidRPr="009F1F75" w:rsidRDefault="007906D0" w:rsidP="007906D0">
      <w:pPr>
        <w:spacing w:line="293" w:lineRule="atLeast"/>
        <w:jc w:val="both"/>
        <w:rPr>
          <w:rFonts w:ascii="Arial" w:hAnsi="Arial" w:cs="Arial"/>
          <w:szCs w:val="23"/>
        </w:rPr>
      </w:pPr>
      <w:r w:rsidRPr="009F1F75">
        <w:rPr>
          <w:rFonts w:ascii="Arial" w:hAnsi="Arial" w:cs="Arial"/>
          <w:szCs w:val="23"/>
        </w:rPr>
        <w:t xml:space="preserve">Simović, O., Rađenović, Ž., Perović, D., &amp; Vujačić, V. (2020) Tourism in the Digital Age: E-Booking Perspective. ENTRENOVA – </w:t>
      </w:r>
      <w:proofErr w:type="spellStart"/>
      <w:r w:rsidRPr="009F1F75">
        <w:rPr>
          <w:rFonts w:ascii="Arial" w:hAnsi="Arial" w:cs="Arial"/>
          <w:szCs w:val="23"/>
        </w:rPr>
        <w:t>ENTerprise</w:t>
      </w:r>
      <w:proofErr w:type="spellEnd"/>
      <w:r w:rsidRPr="009F1F75">
        <w:rPr>
          <w:rFonts w:ascii="Arial" w:hAnsi="Arial" w:cs="Arial"/>
          <w:szCs w:val="23"/>
        </w:rPr>
        <w:t xml:space="preserve"> </w:t>
      </w:r>
      <w:proofErr w:type="spellStart"/>
      <w:r w:rsidRPr="009F1F75">
        <w:rPr>
          <w:rFonts w:ascii="Arial" w:hAnsi="Arial" w:cs="Arial"/>
          <w:szCs w:val="23"/>
        </w:rPr>
        <w:t>REsearch</w:t>
      </w:r>
      <w:proofErr w:type="spellEnd"/>
      <w:r w:rsidRPr="009F1F75">
        <w:rPr>
          <w:rFonts w:ascii="Arial" w:hAnsi="Arial" w:cs="Arial"/>
          <w:szCs w:val="23"/>
        </w:rPr>
        <w:t xml:space="preserve"> </w:t>
      </w:r>
      <w:proofErr w:type="spellStart"/>
      <w:r w:rsidRPr="009F1F75">
        <w:rPr>
          <w:rFonts w:ascii="Arial" w:hAnsi="Arial" w:cs="Arial"/>
          <w:szCs w:val="23"/>
        </w:rPr>
        <w:t>InNOVation</w:t>
      </w:r>
      <w:proofErr w:type="spellEnd"/>
      <w:r w:rsidRPr="009F1F75">
        <w:rPr>
          <w:rFonts w:ascii="Arial" w:hAnsi="Arial" w:cs="Arial"/>
          <w:szCs w:val="23"/>
        </w:rPr>
        <w:t xml:space="preserve">, 6(1), pp. 616-627., https://hrcak.srce.hr/ojs/index.php/entrenova/ article/view/13515/6766 </w:t>
      </w:r>
    </w:p>
    <w:p w14:paraId="229F2E99" w14:textId="77777777" w:rsidR="007906D0" w:rsidRPr="009F1F75" w:rsidRDefault="007906D0" w:rsidP="007906D0">
      <w:pPr>
        <w:spacing w:line="293" w:lineRule="atLeast"/>
        <w:jc w:val="both"/>
        <w:rPr>
          <w:rFonts w:ascii="Arial" w:hAnsi="Arial" w:cs="Arial"/>
          <w:szCs w:val="23"/>
        </w:rPr>
      </w:pPr>
      <w:proofErr w:type="spellStart"/>
      <w:r w:rsidRPr="009F1F75">
        <w:rPr>
          <w:rFonts w:ascii="Arial" w:hAnsi="Arial" w:cs="Arial"/>
          <w:szCs w:val="23"/>
        </w:rPr>
        <w:t>Velenturf</w:t>
      </w:r>
      <w:proofErr w:type="spellEnd"/>
      <w:r w:rsidRPr="009F1F75">
        <w:rPr>
          <w:rFonts w:ascii="Arial" w:hAnsi="Arial" w:cs="Arial"/>
          <w:szCs w:val="23"/>
        </w:rPr>
        <w:t>, A. P., &amp; Purnell, P. (2021). Principles for a sustainable circular economy. Sustainable Production and Consumption, 27, pp.1437-1457.</w:t>
      </w:r>
    </w:p>
    <w:p w14:paraId="4FCB67EA" w14:textId="77777777" w:rsidR="007906D0" w:rsidRPr="009F1F75" w:rsidRDefault="007906D0" w:rsidP="007906D0">
      <w:pPr>
        <w:spacing w:line="293" w:lineRule="atLeast"/>
        <w:jc w:val="both"/>
        <w:rPr>
          <w:rFonts w:ascii="Arial" w:hAnsi="Arial" w:cs="Arial"/>
          <w:szCs w:val="23"/>
        </w:rPr>
      </w:pPr>
      <w:proofErr w:type="spellStart"/>
      <w:r w:rsidRPr="009F1F75">
        <w:rPr>
          <w:rFonts w:ascii="Arial" w:hAnsi="Arial" w:cs="Arial"/>
          <w:szCs w:val="23"/>
        </w:rPr>
        <w:t>Vranjanac</w:t>
      </w:r>
      <w:proofErr w:type="spellEnd"/>
      <w:r w:rsidRPr="009F1F75">
        <w:rPr>
          <w:rFonts w:ascii="Arial" w:hAnsi="Arial" w:cs="Arial"/>
          <w:szCs w:val="23"/>
        </w:rPr>
        <w:t>, Ž., Rađenović, Ž., Rađenović, T., Živković, S. (2023). Modeling circular economy innovation and performance indicators in European Union countries. Environmental Science and Pollution Research, 30 (34), pp. 81573-81584., https://link.springer.com/article/10.1007/s11356-023-26431-5</w:t>
      </w:r>
    </w:p>
    <w:p w14:paraId="495E6F06" w14:textId="77777777" w:rsidR="007906D0" w:rsidRPr="009F1F75" w:rsidRDefault="007906D0" w:rsidP="007906D0">
      <w:pPr>
        <w:spacing w:line="293" w:lineRule="atLeast"/>
        <w:jc w:val="both"/>
        <w:rPr>
          <w:rFonts w:ascii="Arial" w:hAnsi="Arial" w:cs="Arial"/>
          <w:szCs w:val="23"/>
        </w:rPr>
      </w:pPr>
      <w:proofErr w:type="spellStart"/>
      <w:r w:rsidRPr="009F1F75">
        <w:rPr>
          <w:rFonts w:ascii="Arial" w:hAnsi="Arial" w:cs="Arial"/>
          <w:szCs w:val="23"/>
        </w:rPr>
        <w:t>Vranjanac</w:t>
      </w:r>
      <w:proofErr w:type="spellEnd"/>
      <w:r w:rsidRPr="009F1F75">
        <w:rPr>
          <w:rFonts w:ascii="Arial" w:hAnsi="Arial" w:cs="Arial"/>
          <w:szCs w:val="23"/>
        </w:rPr>
        <w:t xml:space="preserve">, Ž., &amp; Rađenović, Ž. (2022). EU Countries' Hierarchical Clustering Towards Circular Economy Performance Indicators. </w:t>
      </w:r>
      <w:proofErr w:type="spellStart"/>
      <w:r w:rsidRPr="009F1F75">
        <w:rPr>
          <w:rFonts w:ascii="Arial" w:hAnsi="Arial" w:cs="Arial"/>
          <w:szCs w:val="23"/>
        </w:rPr>
        <w:t>Facta</w:t>
      </w:r>
      <w:proofErr w:type="spellEnd"/>
      <w:r w:rsidRPr="009F1F75">
        <w:rPr>
          <w:rFonts w:ascii="Arial" w:hAnsi="Arial" w:cs="Arial"/>
          <w:szCs w:val="23"/>
        </w:rPr>
        <w:t xml:space="preserve"> Universitatis, Series: Working and Living Environmental Protection, 19 (3), pp. 149-155., https://doi.org/10.22190/FUWLEP2203149V</w:t>
      </w:r>
    </w:p>
    <w:p w14:paraId="46D60C0D" w14:textId="77777777" w:rsidR="00A42D8F" w:rsidRPr="009F1F75" w:rsidRDefault="00A42D8F" w:rsidP="00D8451C">
      <w:pPr>
        <w:spacing w:line="293" w:lineRule="atLeast"/>
        <w:jc w:val="both"/>
        <w:rPr>
          <w:rFonts w:ascii="Arial" w:hAnsi="Arial" w:cs="Arial"/>
          <w:sz w:val="23"/>
          <w:szCs w:val="23"/>
        </w:rPr>
      </w:pPr>
    </w:p>
    <w:sectPr w:rsidR="00A42D8F" w:rsidRPr="009F1F75" w:rsidSect="00E03899">
      <w:headerReference w:type="default" r:id="rId14"/>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9E381" w14:textId="77777777" w:rsidR="0081601B" w:rsidRDefault="0081601B" w:rsidP="0023175A">
      <w:r>
        <w:separator/>
      </w:r>
    </w:p>
  </w:endnote>
  <w:endnote w:type="continuationSeparator" w:id="0">
    <w:p w14:paraId="775241B1" w14:textId="77777777" w:rsidR="0081601B" w:rsidRDefault="0081601B" w:rsidP="0023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CD8BD" w14:textId="77777777" w:rsidR="0081601B" w:rsidRDefault="0081601B" w:rsidP="0023175A">
      <w:r>
        <w:separator/>
      </w:r>
    </w:p>
  </w:footnote>
  <w:footnote w:type="continuationSeparator" w:id="0">
    <w:p w14:paraId="71EF4659" w14:textId="77777777" w:rsidR="0081601B" w:rsidRDefault="0081601B" w:rsidP="00231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F8164" w14:textId="12786451" w:rsidR="009207AC" w:rsidRPr="00E03899" w:rsidRDefault="009207AC" w:rsidP="00E03899">
    <w:pPr>
      <w:rPr>
        <w:rFonts w:ascii="Arial" w:eastAsia="Times New Roman" w:hAnsi="Arial" w:cs="Arial"/>
        <w:sz w:val="18"/>
        <w:szCs w:val="18"/>
      </w:rPr>
    </w:pPr>
    <w:bookmarkStart w:id="0" w:name="_Hlk95396075"/>
    <w:r w:rsidRPr="00E03899">
      <w:rPr>
        <w:rFonts w:ascii="Arial" w:eastAsia="Times New Roman" w:hAnsi="Arial" w:cs="Arial"/>
        <w:sz w:val="18"/>
        <w:szCs w:val="18"/>
      </w:rPr>
      <w:t>Manuscript received:</w:t>
    </w:r>
    <w:r w:rsidR="008F68FE">
      <w:rPr>
        <w:rFonts w:ascii="Arial" w:eastAsia="Times New Roman" w:hAnsi="Arial" w:cs="Arial"/>
        <w:sz w:val="18"/>
        <w:szCs w:val="18"/>
      </w:rPr>
      <w:t xml:space="preserve"> 11.07.2024 </w:t>
    </w:r>
    <w:r>
      <w:rPr>
        <w:rFonts w:ascii="Arial" w:eastAsia="Times New Roman" w:hAnsi="Arial" w:cs="Arial"/>
        <w:sz w:val="18"/>
        <w:szCs w:val="18"/>
      </w:rPr>
      <w:t xml:space="preserve">                            </w:t>
    </w:r>
    <w:r>
      <w:rPr>
        <w:rFonts w:ascii="Arial" w:hAnsi="Arial" w:cs="Arial"/>
        <w:bCs/>
        <w:sz w:val="18"/>
        <w:szCs w:val="18"/>
      </w:rPr>
      <w:t>International Journal of Economics, Management and Tourism</w:t>
    </w:r>
    <w:r w:rsidR="008F68FE">
      <w:rPr>
        <w:rFonts w:ascii="Arial" w:hAnsi="Arial" w:cs="Arial"/>
        <w:bCs/>
        <w:sz w:val="18"/>
        <w:szCs w:val="18"/>
      </w:rPr>
      <w:t xml:space="preserve"> </w:t>
    </w:r>
    <w:r w:rsidRPr="00E03899">
      <w:rPr>
        <w:rFonts w:ascii="Arial" w:eastAsia="Times New Roman" w:hAnsi="Arial" w:cs="Arial"/>
        <w:sz w:val="18"/>
        <w:szCs w:val="18"/>
      </w:rPr>
      <w:t>Accepted:</w:t>
    </w:r>
    <w:r w:rsidR="008F68FE">
      <w:rPr>
        <w:rFonts w:ascii="Arial" w:eastAsia="Times New Roman" w:hAnsi="Arial" w:cs="Arial"/>
        <w:sz w:val="18"/>
        <w:szCs w:val="18"/>
      </w:rPr>
      <w:t xml:space="preserve"> </w:t>
    </w:r>
    <w:r w:rsidR="00EE01E3">
      <w:rPr>
        <w:rFonts w:ascii="Arial" w:eastAsia="Times New Roman" w:hAnsi="Arial" w:cs="Arial"/>
        <w:sz w:val="18"/>
        <w:szCs w:val="18"/>
        <w:lang w:val="mk-MK"/>
      </w:rPr>
      <w:t>24</w:t>
    </w:r>
    <w:r w:rsidR="008F68FE">
      <w:rPr>
        <w:rFonts w:ascii="Arial" w:eastAsia="Times New Roman" w:hAnsi="Arial" w:cs="Arial"/>
        <w:sz w:val="18"/>
        <w:szCs w:val="18"/>
      </w:rPr>
      <w:t>.11.2024</w:t>
    </w:r>
    <w:r w:rsidRPr="00E03899">
      <w:rPr>
        <w:rFonts w:ascii="Arial" w:eastAsia="Times New Roman" w:hAnsi="Arial" w:cs="Arial"/>
        <w:sz w:val="18"/>
        <w:szCs w:val="18"/>
      </w:rPr>
      <w:tab/>
    </w:r>
    <w:r w:rsidRPr="00E03899">
      <w:rPr>
        <w:rFonts w:ascii="Arial" w:eastAsia="Times New Roman" w:hAnsi="Arial" w:cs="Arial"/>
        <w:sz w:val="18"/>
        <w:szCs w:val="18"/>
      </w:rPr>
      <w:tab/>
    </w:r>
    <w:r w:rsidRPr="00E03899">
      <w:rPr>
        <w:rFonts w:ascii="Arial" w:eastAsia="Times New Roman" w:hAnsi="Arial" w:cs="Arial"/>
        <w:sz w:val="18"/>
        <w:szCs w:val="18"/>
      </w:rPr>
      <w:tab/>
    </w:r>
    <w:r w:rsidRPr="00E03899">
      <w:rPr>
        <w:rFonts w:ascii="Arial" w:eastAsia="Times New Roman" w:hAnsi="Arial" w:cs="Arial"/>
        <w:sz w:val="18"/>
        <w:szCs w:val="18"/>
      </w:rPr>
      <w:tab/>
    </w:r>
    <w:r w:rsidRPr="00E03899">
      <w:rPr>
        <w:rFonts w:ascii="Arial" w:eastAsia="Times New Roman" w:hAnsi="Arial" w:cs="Arial"/>
        <w:sz w:val="18"/>
        <w:szCs w:val="18"/>
      </w:rPr>
      <w:tab/>
      <w:t xml:space="preserve">     </w:t>
    </w:r>
    <w:r>
      <w:rPr>
        <w:rFonts w:ascii="Arial" w:eastAsia="Times New Roman" w:hAnsi="Arial" w:cs="Arial"/>
        <w:sz w:val="18"/>
        <w:szCs w:val="18"/>
      </w:rPr>
      <w:t xml:space="preserve">                                  </w:t>
    </w:r>
    <w:r w:rsidR="00C979F0">
      <w:rPr>
        <w:rFonts w:ascii="Arial" w:eastAsia="Times New Roman" w:hAnsi="Arial" w:cs="Arial"/>
        <w:sz w:val="18"/>
        <w:szCs w:val="18"/>
      </w:rPr>
      <w:t xml:space="preserve">     </w:t>
    </w:r>
    <w:r>
      <w:rPr>
        <w:rFonts w:ascii="Arial" w:eastAsia="Times New Roman" w:hAnsi="Arial" w:cs="Arial"/>
        <w:sz w:val="18"/>
        <w:szCs w:val="18"/>
      </w:rPr>
      <w:t xml:space="preserve"> </w:t>
    </w:r>
    <w:r w:rsidRPr="00E03899">
      <w:rPr>
        <w:rFonts w:ascii="Arial" w:eastAsia="Times New Roman" w:hAnsi="Arial" w:cs="Arial"/>
        <w:sz w:val="18"/>
        <w:szCs w:val="18"/>
      </w:rPr>
      <w:t xml:space="preserve">Vol </w:t>
    </w:r>
    <w:r w:rsidR="00C248A2">
      <w:rPr>
        <w:rFonts w:ascii="Arial" w:eastAsia="Times New Roman" w:hAnsi="Arial" w:cs="Arial"/>
        <w:sz w:val="18"/>
        <w:szCs w:val="18"/>
      </w:rPr>
      <w:t>4</w:t>
    </w:r>
    <w:r w:rsidRPr="00E03899">
      <w:rPr>
        <w:rFonts w:ascii="Arial" w:eastAsia="Times New Roman" w:hAnsi="Arial" w:cs="Arial"/>
        <w:sz w:val="18"/>
        <w:szCs w:val="18"/>
      </w:rPr>
      <w:t xml:space="preserve">, No. </w:t>
    </w:r>
    <w:r w:rsidR="00C248A2">
      <w:rPr>
        <w:rFonts w:ascii="Arial" w:eastAsia="Times New Roman" w:hAnsi="Arial" w:cs="Arial"/>
        <w:sz w:val="18"/>
        <w:szCs w:val="18"/>
      </w:rPr>
      <w:t>2</w:t>
    </w:r>
    <w:r w:rsidRPr="00E03899">
      <w:rPr>
        <w:rFonts w:ascii="Arial" w:eastAsia="Times New Roman" w:hAnsi="Arial" w:cs="Arial"/>
        <w:sz w:val="18"/>
        <w:szCs w:val="18"/>
      </w:rPr>
      <w:t xml:space="preserve">, pp. </w:t>
    </w:r>
    <w:r w:rsidR="00C979F0">
      <w:rPr>
        <w:rFonts w:ascii="Arial" w:eastAsia="Times New Roman" w:hAnsi="Arial" w:cs="Arial"/>
        <w:sz w:val="18"/>
        <w:szCs w:val="18"/>
      </w:rPr>
      <w:t>7-1</w:t>
    </w:r>
    <w:r w:rsidR="00817331">
      <w:rPr>
        <w:rFonts w:ascii="Arial" w:eastAsia="Times New Roman" w:hAnsi="Arial" w:cs="Arial"/>
        <w:sz w:val="18"/>
        <w:szCs w:val="18"/>
      </w:rPr>
      <w:t>6</w:t>
    </w:r>
  </w:p>
  <w:p w14:paraId="39A3B770" w14:textId="77777777" w:rsidR="009207AC" w:rsidRPr="00E03899" w:rsidRDefault="009207AC" w:rsidP="00E03899">
    <w:pPr>
      <w:jc w:val="right"/>
      <w:rPr>
        <w:rFonts w:ascii="Arial" w:hAnsi="Arial" w:cs="Arial"/>
        <w:sz w:val="18"/>
        <w:szCs w:val="18"/>
        <w:lang w:val="mk-MK"/>
      </w:rPr>
    </w:pPr>
    <w:r w:rsidRPr="00E03899">
      <w:rPr>
        <w:rFonts w:ascii="Arial" w:eastAsia="Times New Roman" w:hAnsi="Arial" w:cs="Arial"/>
        <w:sz w:val="18"/>
        <w:szCs w:val="18"/>
      </w:rPr>
      <w:t xml:space="preserve">Online: ISSN </w:t>
    </w:r>
    <w:r w:rsidRPr="00E03899">
      <w:rPr>
        <w:rFonts w:ascii="Arial" w:hAnsi="Arial" w:cs="Arial"/>
        <w:b/>
        <w:sz w:val="18"/>
        <w:szCs w:val="18"/>
      </w:rPr>
      <w:t>2</w:t>
    </w:r>
    <w:r w:rsidRPr="00E03899">
      <w:rPr>
        <w:rFonts w:ascii="Arial" w:hAnsi="Arial" w:cs="Arial"/>
        <w:b/>
        <w:sz w:val="18"/>
        <w:szCs w:val="18"/>
        <w:lang w:val="mk-MK"/>
      </w:rPr>
      <w:t>671-3810</w:t>
    </w:r>
  </w:p>
  <w:p w14:paraId="2E795275" w14:textId="77777777" w:rsidR="009B344E" w:rsidRDefault="009207AC" w:rsidP="009B344E">
    <w:pPr>
      <w:jc w:val="right"/>
      <w:rPr>
        <w:rFonts w:ascii="Arial" w:eastAsia="Times New Roman" w:hAnsi="Arial" w:cs="Arial"/>
        <w:sz w:val="18"/>
        <w:szCs w:val="18"/>
      </w:rPr>
    </w:pPr>
    <w:r>
      <w:rPr>
        <w:rFonts w:ascii="Arial" w:eastAsia="Times New Roman" w:hAnsi="Arial" w:cs="Arial"/>
        <w:sz w:val="18"/>
        <w:szCs w:val="18"/>
      </w:rPr>
      <w:t xml:space="preserve">                                                                  </w:t>
    </w:r>
    <w:r w:rsidRPr="00E03899">
      <w:rPr>
        <w:rFonts w:ascii="Arial" w:eastAsia="Times New Roman" w:hAnsi="Arial" w:cs="Arial"/>
        <w:sz w:val="18"/>
        <w:szCs w:val="18"/>
      </w:rPr>
      <w:t xml:space="preserve">UDC: </w:t>
    </w:r>
    <w:r w:rsidR="009B344E" w:rsidRPr="009B344E">
      <w:rPr>
        <w:rFonts w:ascii="Arial" w:eastAsia="Times New Roman" w:hAnsi="Arial" w:cs="Arial"/>
        <w:sz w:val="18"/>
        <w:szCs w:val="18"/>
      </w:rPr>
      <w:t>338.121:658.567]:332.122:303.721(4-672EU)”2017/2021”</w:t>
    </w:r>
  </w:p>
  <w:p w14:paraId="04658C68" w14:textId="27CE3FFB" w:rsidR="009207AC" w:rsidRPr="00E03899" w:rsidRDefault="009207AC" w:rsidP="009B344E">
    <w:pPr>
      <w:jc w:val="right"/>
      <w:rPr>
        <w:rFonts w:ascii="Arial" w:eastAsia="Times New Roman" w:hAnsi="Arial" w:cs="Arial"/>
        <w:sz w:val="18"/>
        <w:szCs w:val="18"/>
      </w:rPr>
    </w:pPr>
    <w:r w:rsidRPr="00E03899">
      <w:rPr>
        <w:rFonts w:ascii="Arial" w:eastAsia="Times New Roman" w:hAnsi="Arial" w:cs="Arial"/>
        <w:sz w:val="18"/>
        <w:szCs w:val="18"/>
      </w:rPr>
      <w:t xml:space="preserve">Original scientific paper </w:t>
    </w:r>
  </w:p>
  <w:bookmarkEnd w:id="0"/>
  <w:p w14:paraId="46C82EFF" w14:textId="77777777" w:rsidR="009207AC" w:rsidRPr="00E03899" w:rsidRDefault="009207AC" w:rsidP="00E03899">
    <w:pPr>
      <w:jc w:val="center"/>
      <w:rPr>
        <w:rFonts w:ascii="Arial" w:hAnsi="Arial" w:cs="Arial"/>
        <w:b/>
      </w:rPr>
    </w:pPr>
  </w:p>
  <w:p w14:paraId="08BFD5D7" w14:textId="77777777" w:rsidR="009207AC" w:rsidRPr="00DE0D8A" w:rsidRDefault="009207AC" w:rsidP="00DE0D8A">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31C46"/>
    <w:multiLevelType w:val="hybridMultilevel"/>
    <w:tmpl w:val="C7246C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453343"/>
    <w:multiLevelType w:val="hybridMultilevel"/>
    <w:tmpl w:val="8C400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43532B"/>
    <w:multiLevelType w:val="hybridMultilevel"/>
    <w:tmpl w:val="B6D241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FE7B18"/>
    <w:multiLevelType w:val="hybridMultilevel"/>
    <w:tmpl w:val="372E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97740D"/>
    <w:multiLevelType w:val="hybridMultilevel"/>
    <w:tmpl w:val="EC96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BA5935"/>
    <w:multiLevelType w:val="hybridMultilevel"/>
    <w:tmpl w:val="020E11B4"/>
    <w:lvl w:ilvl="0" w:tplc="042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8193326">
    <w:abstractNumId w:val="0"/>
  </w:num>
  <w:num w:numId="2" w16cid:durableId="1415977774">
    <w:abstractNumId w:val="2"/>
  </w:num>
  <w:num w:numId="3" w16cid:durableId="1606382959">
    <w:abstractNumId w:val="5"/>
  </w:num>
  <w:num w:numId="4" w16cid:durableId="1748456533">
    <w:abstractNumId w:val="1"/>
  </w:num>
  <w:num w:numId="5" w16cid:durableId="388385887">
    <w:abstractNumId w:val="4"/>
  </w:num>
  <w:num w:numId="6" w16cid:durableId="438719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774"/>
    <w:rsid w:val="00025781"/>
    <w:rsid w:val="00066D36"/>
    <w:rsid w:val="000C2390"/>
    <w:rsid w:val="00140B30"/>
    <w:rsid w:val="001B457E"/>
    <w:rsid w:val="0023175A"/>
    <w:rsid w:val="00234702"/>
    <w:rsid w:val="00275433"/>
    <w:rsid w:val="002B3048"/>
    <w:rsid w:val="003E2916"/>
    <w:rsid w:val="003F09DA"/>
    <w:rsid w:val="00432E0D"/>
    <w:rsid w:val="00451102"/>
    <w:rsid w:val="00471483"/>
    <w:rsid w:val="00473F11"/>
    <w:rsid w:val="00534B3C"/>
    <w:rsid w:val="005555D3"/>
    <w:rsid w:val="005B2144"/>
    <w:rsid w:val="005F0774"/>
    <w:rsid w:val="006352FA"/>
    <w:rsid w:val="006673B0"/>
    <w:rsid w:val="0068640B"/>
    <w:rsid w:val="007906D0"/>
    <w:rsid w:val="007A4F78"/>
    <w:rsid w:val="007A5C06"/>
    <w:rsid w:val="0081601B"/>
    <w:rsid w:val="00817331"/>
    <w:rsid w:val="00847AD7"/>
    <w:rsid w:val="00891253"/>
    <w:rsid w:val="008D0E04"/>
    <w:rsid w:val="008F4DF0"/>
    <w:rsid w:val="008F68FE"/>
    <w:rsid w:val="009048F5"/>
    <w:rsid w:val="009207AC"/>
    <w:rsid w:val="00961E92"/>
    <w:rsid w:val="00977471"/>
    <w:rsid w:val="009B344E"/>
    <w:rsid w:val="009D1496"/>
    <w:rsid w:val="009E2489"/>
    <w:rsid w:val="009F1F75"/>
    <w:rsid w:val="00A20000"/>
    <w:rsid w:val="00A22B41"/>
    <w:rsid w:val="00A42D8F"/>
    <w:rsid w:val="00AA4E3E"/>
    <w:rsid w:val="00AB525B"/>
    <w:rsid w:val="00AE6D42"/>
    <w:rsid w:val="00B0595A"/>
    <w:rsid w:val="00BA43CC"/>
    <w:rsid w:val="00C06537"/>
    <w:rsid w:val="00C248A2"/>
    <w:rsid w:val="00C43029"/>
    <w:rsid w:val="00C979F0"/>
    <w:rsid w:val="00CD06E1"/>
    <w:rsid w:val="00CD53F0"/>
    <w:rsid w:val="00D8451C"/>
    <w:rsid w:val="00D948BD"/>
    <w:rsid w:val="00DC609E"/>
    <w:rsid w:val="00DE0D8A"/>
    <w:rsid w:val="00E02BFB"/>
    <w:rsid w:val="00E03899"/>
    <w:rsid w:val="00E3759C"/>
    <w:rsid w:val="00E77A3E"/>
    <w:rsid w:val="00EE01E3"/>
    <w:rsid w:val="00EE65A3"/>
    <w:rsid w:val="00EF1275"/>
    <w:rsid w:val="00EF666A"/>
    <w:rsid w:val="00F43BFD"/>
    <w:rsid w:val="00F66F76"/>
    <w:rsid w:val="00FC2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CE4F2"/>
  <w15:chartTrackingRefBased/>
  <w15:docId w15:val="{60494592-9116-4CC4-857A-B5E09D25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6"/>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F0774"/>
    <w:rPr>
      <w:color w:val="0000FF"/>
      <w:u w:val="single"/>
    </w:rPr>
  </w:style>
  <w:style w:type="paragraph" w:styleId="NormalWeb">
    <w:name w:val="Normal (Web)"/>
    <w:basedOn w:val="Normal"/>
    <w:uiPriority w:val="99"/>
    <w:unhideWhenUsed/>
    <w:rsid w:val="009D1496"/>
    <w:pPr>
      <w:spacing w:before="100" w:beforeAutospacing="1" w:after="100" w:afterAutospacing="1"/>
    </w:pPr>
    <w:rPr>
      <w:rFonts w:ascii="Times New Roman" w:eastAsia="Times New Roman" w:hAnsi="Times New Roman" w:cs="Times New Roman"/>
      <w:sz w:val="24"/>
      <w:szCs w:val="24"/>
      <w:lang w:val="mk-MK" w:eastAsia="mk-MK"/>
    </w:rPr>
  </w:style>
  <w:style w:type="paragraph" w:styleId="ListParagraph">
    <w:name w:val="List Paragraph"/>
    <w:basedOn w:val="Normal"/>
    <w:uiPriority w:val="34"/>
    <w:qFormat/>
    <w:rsid w:val="00432E0D"/>
    <w:pPr>
      <w:ind w:left="720"/>
      <w:contextualSpacing/>
    </w:pPr>
  </w:style>
  <w:style w:type="character" w:styleId="UnresolvedMention">
    <w:name w:val="Unresolved Mention"/>
    <w:uiPriority w:val="99"/>
    <w:semiHidden/>
    <w:unhideWhenUsed/>
    <w:rsid w:val="00432E0D"/>
    <w:rPr>
      <w:color w:val="605E5C"/>
      <w:shd w:val="clear" w:color="auto" w:fill="E1DFDD"/>
    </w:rPr>
  </w:style>
  <w:style w:type="character" w:styleId="Emphasis">
    <w:name w:val="Emphasis"/>
    <w:uiPriority w:val="20"/>
    <w:qFormat/>
    <w:rsid w:val="00AA4E3E"/>
    <w:rPr>
      <w:i/>
      <w:iCs/>
    </w:rPr>
  </w:style>
  <w:style w:type="paragraph" w:styleId="FootnoteText">
    <w:name w:val="footnote text"/>
    <w:basedOn w:val="Normal"/>
    <w:link w:val="FootnoteTextChar"/>
    <w:uiPriority w:val="99"/>
    <w:semiHidden/>
    <w:unhideWhenUsed/>
    <w:rsid w:val="0023175A"/>
    <w:rPr>
      <w:sz w:val="20"/>
      <w:szCs w:val="20"/>
    </w:rPr>
  </w:style>
  <w:style w:type="character" w:customStyle="1" w:styleId="FootnoteTextChar">
    <w:name w:val="Footnote Text Char"/>
    <w:link w:val="FootnoteText"/>
    <w:uiPriority w:val="99"/>
    <w:semiHidden/>
    <w:rsid w:val="0023175A"/>
    <w:rPr>
      <w:rFonts w:ascii="Calibri" w:hAnsi="Calibri" w:cs="Calibri"/>
      <w:sz w:val="20"/>
      <w:szCs w:val="20"/>
      <w:lang w:val="en-US"/>
    </w:rPr>
  </w:style>
  <w:style w:type="character" w:styleId="FootnoteReference">
    <w:name w:val="footnote reference"/>
    <w:uiPriority w:val="99"/>
    <w:semiHidden/>
    <w:unhideWhenUsed/>
    <w:rsid w:val="0023175A"/>
    <w:rPr>
      <w:vertAlign w:val="superscript"/>
    </w:rPr>
  </w:style>
  <w:style w:type="paragraph" w:styleId="Header">
    <w:name w:val="header"/>
    <w:basedOn w:val="Normal"/>
    <w:link w:val="HeaderChar"/>
    <w:uiPriority w:val="99"/>
    <w:unhideWhenUsed/>
    <w:rsid w:val="00DE0D8A"/>
    <w:pPr>
      <w:tabs>
        <w:tab w:val="center" w:pos="4680"/>
        <w:tab w:val="right" w:pos="9360"/>
      </w:tabs>
    </w:pPr>
  </w:style>
  <w:style w:type="character" w:customStyle="1" w:styleId="HeaderChar">
    <w:name w:val="Header Char"/>
    <w:link w:val="Header"/>
    <w:uiPriority w:val="99"/>
    <w:rsid w:val="00DE0D8A"/>
    <w:rPr>
      <w:rFonts w:ascii="Calibri" w:hAnsi="Calibri" w:cs="Calibri"/>
      <w:lang w:val="en-US"/>
    </w:rPr>
  </w:style>
  <w:style w:type="paragraph" w:styleId="Footer">
    <w:name w:val="footer"/>
    <w:basedOn w:val="Normal"/>
    <w:link w:val="FooterChar"/>
    <w:uiPriority w:val="99"/>
    <w:unhideWhenUsed/>
    <w:rsid w:val="00DE0D8A"/>
    <w:pPr>
      <w:tabs>
        <w:tab w:val="center" w:pos="4680"/>
        <w:tab w:val="right" w:pos="9360"/>
      </w:tabs>
    </w:pPr>
  </w:style>
  <w:style w:type="character" w:customStyle="1" w:styleId="FooterChar">
    <w:name w:val="Footer Char"/>
    <w:link w:val="Footer"/>
    <w:uiPriority w:val="99"/>
    <w:rsid w:val="00DE0D8A"/>
    <w:rPr>
      <w:rFonts w:ascii="Calibri" w:hAnsi="Calibri" w:cs="Calibri"/>
      <w:lang w:val="en-US"/>
    </w:rPr>
  </w:style>
  <w:style w:type="character" w:customStyle="1" w:styleId="shorttext">
    <w:name w:val="short_text"/>
    <w:basedOn w:val="DefaultParagraphFont"/>
    <w:rsid w:val="00D8451C"/>
  </w:style>
  <w:style w:type="character" w:customStyle="1" w:styleId="longtext">
    <w:name w:val="long_text"/>
    <w:basedOn w:val="DefaultParagraphFont"/>
    <w:rsid w:val="00D8451C"/>
  </w:style>
  <w:style w:type="character" w:customStyle="1" w:styleId="hps">
    <w:name w:val="hps"/>
    <w:basedOn w:val="DefaultParagraphFont"/>
    <w:rsid w:val="00D8451C"/>
  </w:style>
  <w:style w:type="table" w:styleId="TableGrid">
    <w:name w:val="Table Grid"/>
    <w:basedOn w:val="TableNormal"/>
    <w:uiPriority w:val="59"/>
    <w:rsid w:val="00D8451C"/>
    <w:pPr>
      <w:jc w:val="both"/>
    </w:pPr>
    <w:rPr>
      <w:rFonts w:ascii="Arial"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w">
    <w:name w:val="show"/>
    <w:basedOn w:val="Normal"/>
    <w:rsid w:val="007906D0"/>
    <w:pPr>
      <w:spacing w:before="100" w:beforeAutospacing="1" w:after="100" w:afterAutospacing="1"/>
    </w:pPr>
    <w:rPr>
      <w:rFonts w:ascii="Times New Roman" w:eastAsia="Times New Roman" w:hAnsi="Times New Roman" w:cs="Times New Roman"/>
      <w:sz w:val="24"/>
      <w:szCs w:val="24"/>
    </w:rPr>
  </w:style>
  <w:style w:type="table" w:customStyle="1" w:styleId="PlainTable21">
    <w:name w:val="Plain Table 21"/>
    <w:basedOn w:val="TableNormal"/>
    <w:next w:val="PlainTable2"/>
    <w:uiPriority w:val="42"/>
    <w:rsid w:val="007906D0"/>
    <w:rPr>
      <w:kern w:val="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7906D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46010">
      <w:bodyDiv w:val="1"/>
      <w:marLeft w:val="0"/>
      <w:marRight w:val="0"/>
      <w:marTop w:val="0"/>
      <w:marBottom w:val="0"/>
      <w:divBdr>
        <w:top w:val="none" w:sz="0" w:space="0" w:color="auto"/>
        <w:left w:val="none" w:sz="0" w:space="0" w:color="auto"/>
        <w:bottom w:val="none" w:sz="0" w:space="0" w:color="auto"/>
        <w:right w:val="none" w:sz="0" w:space="0" w:color="auto"/>
      </w:divBdr>
    </w:div>
    <w:div w:id="283390744">
      <w:bodyDiv w:val="1"/>
      <w:marLeft w:val="0"/>
      <w:marRight w:val="0"/>
      <w:marTop w:val="0"/>
      <w:marBottom w:val="0"/>
      <w:divBdr>
        <w:top w:val="none" w:sz="0" w:space="0" w:color="auto"/>
        <w:left w:val="none" w:sz="0" w:space="0" w:color="auto"/>
        <w:bottom w:val="none" w:sz="0" w:space="0" w:color="auto"/>
        <w:right w:val="none" w:sz="0" w:space="0" w:color="auto"/>
      </w:divBdr>
    </w:div>
    <w:div w:id="502818322">
      <w:bodyDiv w:val="1"/>
      <w:marLeft w:val="0"/>
      <w:marRight w:val="0"/>
      <w:marTop w:val="0"/>
      <w:marBottom w:val="0"/>
      <w:divBdr>
        <w:top w:val="none" w:sz="0" w:space="0" w:color="auto"/>
        <w:left w:val="none" w:sz="0" w:space="0" w:color="auto"/>
        <w:bottom w:val="none" w:sz="0" w:space="0" w:color="auto"/>
        <w:right w:val="none" w:sz="0" w:space="0" w:color="auto"/>
      </w:divBdr>
    </w:div>
    <w:div w:id="853298284">
      <w:bodyDiv w:val="1"/>
      <w:marLeft w:val="0"/>
      <w:marRight w:val="0"/>
      <w:marTop w:val="0"/>
      <w:marBottom w:val="0"/>
      <w:divBdr>
        <w:top w:val="none" w:sz="0" w:space="0" w:color="auto"/>
        <w:left w:val="none" w:sz="0" w:space="0" w:color="auto"/>
        <w:bottom w:val="none" w:sz="0" w:space="0" w:color="auto"/>
        <w:right w:val="none" w:sz="0" w:space="0" w:color="auto"/>
      </w:divBdr>
    </w:div>
    <w:div w:id="931468927">
      <w:bodyDiv w:val="1"/>
      <w:marLeft w:val="0"/>
      <w:marRight w:val="0"/>
      <w:marTop w:val="0"/>
      <w:marBottom w:val="0"/>
      <w:divBdr>
        <w:top w:val="none" w:sz="0" w:space="0" w:color="auto"/>
        <w:left w:val="none" w:sz="0" w:space="0" w:color="auto"/>
        <w:bottom w:val="none" w:sz="0" w:space="0" w:color="auto"/>
        <w:right w:val="none" w:sz="0" w:space="0" w:color="auto"/>
      </w:divBdr>
    </w:div>
    <w:div w:id="1012730285">
      <w:bodyDiv w:val="1"/>
      <w:marLeft w:val="0"/>
      <w:marRight w:val="0"/>
      <w:marTop w:val="0"/>
      <w:marBottom w:val="0"/>
      <w:divBdr>
        <w:top w:val="none" w:sz="0" w:space="0" w:color="auto"/>
        <w:left w:val="none" w:sz="0" w:space="0" w:color="auto"/>
        <w:bottom w:val="none" w:sz="0" w:space="0" w:color="auto"/>
        <w:right w:val="none" w:sz="0" w:space="0" w:color="auto"/>
      </w:divBdr>
    </w:div>
    <w:div w:id="1134836238">
      <w:bodyDiv w:val="1"/>
      <w:marLeft w:val="0"/>
      <w:marRight w:val="0"/>
      <w:marTop w:val="0"/>
      <w:marBottom w:val="0"/>
      <w:divBdr>
        <w:top w:val="none" w:sz="0" w:space="0" w:color="auto"/>
        <w:left w:val="none" w:sz="0" w:space="0" w:color="auto"/>
        <w:bottom w:val="none" w:sz="0" w:space="0" w:color="auto"/>
        <w:right w:val="none" w:sz="0" w:space="0" w:color="auto"/>
      </w:divBdr>
    </w:div>
    <w:div w:id="1192455136">
      <w:bodyDiv w:val="1"/>
      <w:marLeft w:val="0"/>
      <w:marRight w:val="0"/>
      <w:marTop w:val="0"/>
      <w:marBottom w:val="0"/>
      <w:divBdr>
        <w:top w:val="none" w:sz="0" w:space="0" w:color="auto"/>
        <w:left w:val="none" w:sz="0" w:space="0" w:color="auto"/>
        <w:bottom w:val="none" w:sz="0" w:space="0" w:color="auto"/>
        <w:right w:val="none" w:sz="0" w:space="0" w:color="auto"/>
      </w:divBdr>
    </w:div>
    <w:div w:id="1662389468">
      <w:bodyDiv w:val="1"/>
      <w:marLeft w:val="0"/>
      <w:marRight w:val="0"/>
      <w:marTop w:val="0"/>
      <w:marBottom w:val="0"/>
      <w:divBdr>
        <w:top w:val="none" w:sz="0" w:space="0" w:color="auto"/>
        <w:left w:val="none" w:sz="0" w:space="0" w:color="auto"/>
        <w:bottom w:val="none" w:sz="0" w:space="0" w:color="auto"/>
        <w:right w:val="none" w:sz="0" w:space="0" w:color="auto"/>
      </w:divBdr>
    </w:div>
    <w:div w:id="1962834102">
      <w:bodyDiv w:val="1"/>
      <w:marLeft w:val="0"/>
      <w:marRight w:val="0"/>
      <w:marTop w:val="0"/>
      <w:marBottom w:val="0"/>
      <w:divBdr>
        <w:top w:val="none" w:sz="0" w:space="0" w:color="auto"/>
        <w:left w:val="none" w:sz="0" w:space="0" w:color="auto"/>
        <w:bottom w:val="none" w:sz="0" w:space="0" w:color="auto"/>
        <w:right w:val="none" w:sz="0" w:space="0" w:color="auto"/>
      </w:divBdr>
    </w:div>
    <w:div w:id="1999457956">
      <w:bodyDiv w:val="1"/>
      <w:marLeft w:val="0"/>
      <w:marRight w:val="0"/>
      <w:marTop w:val="0"/>
      <w:marBottom w:val="0"/>
      <w:divBdr>
        <w:top w:val="none" w:sz="0" w:space="0" w:color="auto"/>
        <w:left w:val="none" w:sz="0" w:space="0" w:color="auto"/>
        <w:bottom w:val="none" w:sz="0" w:space="0" w:color="auto"/>
        <w:right w:val="none" w:sz="0" w:space="0" w:color="auto"/>
      </w:divBdr>
    </w:div>
    <w:div w:id="210903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_radjenovic89@outlook.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atjana.dzaleva@ugd.edu.m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7D913-206E-4935-9BD9-D135D432C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4098</Words>
  <Characters>23362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Miteva</dc:creator>
  <cp:keywords/>
  <dc:description/>
  <cp:lastModifiedBy>Cvetanka Ristova Maglovska</cp:lastModifiedBy>
  <cp:revision>8</cp:revision>
  <dcterms:created xsi:type="dcterms:W3CDTF">2024-11-19T10:07:00Z</dcterms:created>
  <dcterms:modified xsi:type="dcterms:W3CDTF">2024-12-16T07:14:00Z</dcterms:modified>
</cp:coreProperties>
</file>