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B4100" w14:textId="0C56225A" w:rsidR="001454B0" w:rsidRPr="001454B0" w:rsidRDefault="001454B0" w:rsidP="001454B0">
      <w:pPr>
        <w:jc w:val="center"/>
        <w:rPr>
          <w:rFonts w:ascii="Arial" w:hAnsi="Arial" w:cs="Arial"/>
          <w:b/>
        </w:rPr>
      </w:pPr>
      <w:r w:rsidRPr="001454B0">
        <w:rPr>
          <w:rFonts w:ascii="Arial" w:hAnsi="Arial" w:cs="Arial"/>
          <w:b/>
        </w:rPr>
        <w:t>COMPULSORY OIL RESERVES OF THE R</w:t>
      </w:r>
      <w:r w:rsidR="00F47E48">
        <w:rPr>
          <w:rFonts w:ascii="Arial" w:hAnsi="Arial" w:cs="Arial"/>
          <w:b/>
        </w:rPr>
        <w:t>N</w:t>
      </w:r>
      <w:r w:rsidRPr="001454B0">
        <w:rPr>
          <w:rFonts w:ascii="Arial" w:hAnsi="Arial" w:cs="Arial"/>
          <w:b/>
        </w:rPr>
        <w:t xml:space="preserve">M - status and challenges </w:t>
      </w:r>
    </w:p>
    <w:p w14:paraId="2023D38A" w14:textId="77777777" w:rsidR="001454B0" w:rsidRPr="001454B0" w:rsidRDefault="001454B0" w:rsidP="001454B0">
      <w:pPr>
        <w:jc w:val="center"/>
        <w:rPr>
          <w:rFonts w:ascii="Arial" w:hAnsi="Arial" w:cs="Arial"/>
          <w:bCs/>
          <w:sz w:val="20"/>
          <w:szCs w:val="20"/>
        </w:rPr>
      </w:pPr>
    </w:p>
    <w:p w14:paraId="272988F9" w14:textId="1552AF82" w:rsidR="001454B0" w:rsidRPr="001454B0" w:rsidRDefault="001454B0" w:rsidP="001454B0">
      <w:pPr>
        <w:jc w:val="center"/>
        <w:rPr>
          <w:rFonts w:ascii="Arial" w:hAnsi="Arial" w:cs="Arial"/>
          <w:bCs/>
          <w:sz w:val="20"/>
          <w:szCs w:val="20"/>
        </w:rPr>
      </w:pPr>
      <w:r w:rsidRPr="001454B0">
        <w:rPr>
          <w:rFonts w:ascii="Arial" w:hAnsi="Arial" w:cs="Arial"/>
          <w:bCs/>
          <w:sz w:val="20"/>
          <w:szCs w:val="20"/>
        </w:rPr>
        <w:t>Anita Stamnova, PhD</w:t>
      </w:r>
    </w:p>
    <w:p w14:paraId="7F78887A" w14:textId="77777777" w:rsidR="001454B0" w:rsidRPr="001454B0" w:rsidRDefault="001454B0" w:rsidP="001454B0">
      <w:pPr>
        <w:ind w:left="284" w:right="351"/>
        <w:jc w:val="center"/>
        <w:rPr>
          <w:rFonts w:ascii="Arial" w:hAnsi="Arial" w:cs="Arial"/>
          <w:bCs/>
          <w:sz w:val="20"/>
          <w:szCs w:val="20"/>
        </w:rPr>
      </w:pPr>
      <w:r w:rsidRPr="001454B0">
        <w:rPr>
          <w:rFonts w:ascii="Arial" w:hAnsi="Arial" w:cs="Arial"/>
          <w:bCs/>
          <w:sz w:val="20"/>
          <w:szCs w:val="20"/>
        </w:rPr>
        <w:t>Acting director, Central registry of the Republic of North Macedonia, anita.stamnova@mail.com</w:t>
      </w:r>
    </w:p>
    <w:p w14:paraId="4E18B039" w14:textId="77777777" w:rsidR="001454B0" w:rsidRPr="001454B0" w:rsidRDefault="001454B0" w:rsidP="001454B0">
      <w:pPr>
        <w:ind w:left="284" w:right="351"/>
        <w:jc w:val="center"/>
        <w:rPr>
          <w:rFonts w:ascii="Arial" w:hAnsi="Arial" w:cs="Arial"/>
          <w:sz w:val="20"/>
          <w:szCs w:val="20"/>
        </w:rPr>
      </w:pPr>
    </w:p>
    <w:p w14:paraId="242D56F2" w14:textId="77777777" w:rsidR="001454B0" w:rsidRPr="001454B0" w:rsidRDefault="001454B0" w:rsidP="001454B0">
      <w:pPr>
        <w:ind w:left="284" w:right="351"/>
        <w:jc w:val="center"/>
        <w:rPr>
          <w:rFonts w:ascii="Arial" w:hAnsi="Arial" w:cs="Arial"/>
          <w:sz w:val="20"/>
          <w:szCs w:val="20"/>
        </w:rPr>
      </w:pPr>
    </w:p>
    <w:p w14:paraId="7A6D4C64" w14:textId="77777777" w:rsidR="001454B0" w:rsidRPr="001454B0" w:rsidRDefault="001454B0" w:rsidP="001454B0">
      <w:pPr>
        <w:ind w:left="283" w:right="369"/>
        <w:jc w:val="center"/>
        <w:rPr>
          <w:rFonts w:ascii="Arial" w:hAnsi="Arial" w:cs="Arial"/>
          <w:bCs/>
          <w:iCs/>
        </w:rPr>
      </w:pPr>
      <w:r w:rsidRPr="001454B0">
        <w:rPr>
          <w:rFonts w:ascii="Arial" w:hAnsi="Arial" w:cs="Arial"/>
          <w:bCs/>
          <w:iCs/>
        </w:rPr>
        <w:t>Abstract</w:t>
      </w:r>
    </w:p>
    <w:p w14:paraId="4E18874C" w14:textId="77777777" w:rsidR="001454B0" w:rsidRPr="001454B0" w:rsidRDefault="001454B0" w:rsidP="001454B0">
      <w:pPr>
        <w:pStyle w:val="Default"/>
        <w:ind w:right="-22" w:firstLine="720"/>
        <w:jc w:val="both"/>
        <w:rPr>
          <w:rFonts w:ascii="Arial" w:hAnsi="Arial" w:cs="Arial"/>
          <w:bCs/>
          <w:sz w:val="22"/>
          <w:szCs w:val="22"/>
        </w:rPr>
      </w:pPr>
      <w:r w:rsidRPr="001454B0">
        <w:rPr>
          <w:rFonts w:ascii="Arial" w:hAnsi="Arial" w:cs="Arial"/>
          <w:bCs/>
          <w:sz w:val="22"/>
          <w:szCs w:val="22"/>
        </w:rPr>
        <w:t>The supply of crude oil and oil products in the EU is a very important issue, especially for the transport sector and the chemical industry. The concentration of production, the reduction of oil reserves and the increased consumption of oil products worldwide contribute to an increased risk of supply difficulties.</w:t>
      </w:r>
    </w:p>
    <w:p w14:paraId="1E0B48E6" w14:textId="77777777" w:rsidR="001454B0" w:rsidRPr="001454B0" w:rsidRDefault="001454B0" w:rsidP="001454B0">
      <w:pPr>
        <w:pStyle w:val="Default"/>
        <w:ind w:right="-22" w:firstLine="720"/>
        <w:jc w:val="both"/>
        <w:rPr>
          <w:rFonts w:ascii="Arial" w:hAnsi="Arial" w:cs="Arial"/>
          <w:bCs/>
          <w:sz w:val="22"/>
          <w:szCs w:val="22"/>
        </w:rPr>
      </w:pPr>
      <w:r w:rsidRPr="001454B0">
        <w:rPr>
          <w:rFonts w:ascii="Arial" w:hAnsi="Arial" w:cs="Arial"/>
          <w:bCs/>
          <w:sz w:val="22"/>
          <w:szCs w:val="22"/>
        </w:rPr>
        <w:t xml:space="preserve">The European Council in the Action Plan 2007 to 2009, within the Energy Policy of Europe, emphasized the need to strengthen the security of the supply of oil reserves to the European Union, as well as to each EU member state, with the aim of oil availability in case of crises. The </w:t>
      </w:r>
      <w:r w:rsidRPr="001454B0">
        <w:rPr>
          <w:rFonts w:ascii="Arial" w:hAnsi="Arial" w:cs="Arial"/>
          <w:bCs/>
          <w:sz w:val="22"/>
          <w:szCs w:val="22"/>
          <w:lang w:val="en-US"/>
        </w:rPr>
        <w:t>E</w:t>
      </w:r>
      <w:r w:rsidRPr="001454B0">
        <w:rPr>
          <w:rFonts w:ascii="Arial" w:hAnsi="Arial" w:cs="Arial"/>
          <w:bCs/>
          <w:sz w:val="22"/>
          <w:szCs w:val="22"/>
        </w:rPr>
        <w:t xml:space="preserve">nergy policy of Europe imposes the need for greater </w:t>
      </w:r>
      <w:r w:rsidRPr="001454B0">
        <w:rPr>
          <w:rFonts w:ascii="Arial" w:hAnsi="Arial" w:cs="Arial"/>
          <w:bCs/>
          <w:sz w:val="22"/>
          <w:szCs w:val="22"/>
          <w:lang w:val="en-US"/>
        </w:rPr>
        <w:t>compatibility</w:t>
      </w:r>
      <w:r w:rsidRPr="001454B0">
        <w:rPr>
          <w:rFonts w:ascii="Arial" w:hAnsi="Arial" w:cs="Arial"/>
          <w:bCs/>
          <w:sz w:val="22"/>
          <w:szCs w:val="22"/>
        </w:rPr>
        <w:t xml:space="preserve"> of the </w:t>
      </w:r>
      <w:r w:rsidRPr="001454B0">
        <w:rPr>
          <w:rFonts w:ascii="Arial" w:hAnsi="Arial" w:cs="Arial"/>
          <w:bCs/>
          <w:sz w:val="22"/>
          <w:szCs w:val="22"/>
          <w:lang w:val="en-US"/>
        </w:rPr>
        <w:t xml:space="preserve">European </w:t>
      </w:r>
      <w:r w:rsidRPr="001454B0">
        <w:rPr>
          <w:rFonts w:ascii="Arial" w:hAnsi="Arial" w:cs="Arial"/>
          <w:bCs/>
          <w:sz w:val="22"/>
          <w:szCs w:val="22"/>
        </w:rPr>
        <w:t xml:space="preserve">Community system </w:t>
      </w:r>
      <w:r w:rsidRPr="001454B0">
        <w:rPr>
          <w:rFonts w:ascii="Arial" w:hAnsi="Arial" w:cs="Arial"/>
          <w:bCs/>
          <w:sz w:val="22"/>
          <w:szCs w:val="22"/>
          <w:lang w:val="en-US"/>
        </w:rPr>
        <w:t>with</w:t>
      </w:r>
      <w:r w:rsidRPr="001454B0">
        <w:rPr>
          <w:rFonts w:ascii="Arial" w:hAnsi="Arial" w:cs="Arial"/>
          <w:bCs/>
          <w:sz w:val="22"/>
          <w:szCs w:val="22"/>
        </w:rPr>
        <w:t xml:space="preserve"> the system envisaged by the International Energy Agency.</w:t>
      </w:r>
    </w:p>
    <w:p w14:paraId="31F874AD" w14:textId="77777777" w:rsidR="001454B0" w:rsidRPr="001454B0" w:rsidRDefault="001454B0" w:rsidP="001454B0">
      <w:pPr>
        <w:pStyle w:val="Default"/>
        <w:ind w:right="-22" w:firstLine="720"/>
        <w:jc w:val="both"/>
        <w:rPr>
          <w:rFonts w:ascii="Arial" w:hAnsi="Arial" w:cs="Arial"/>
          <w:bCs/>
          <w:sz w:val="22"/>
          <w:szCs w:val="22"/>
          <w:lang w:val="en-US"/>
        </w:rPr>
      </w:pPr>
      <w:r w:rsidRPr="001454B0">
        <w:rPr>
          <w:rFonts w:ascii="Arial" w:hAnsi="Arial" w:cs="Arial"/>
          <w:bCs/>
          <w:sz w:val="22"/>
          <w:szCs w:val="22"/>
        </w:rPr>
        <w:t>In accordance with Council Directive 2006/67/EC of July 24, 2006, the obligation of EU member states to keep minimum reserves of crude oil and/or oil derivatives is imposed</w:t>
      </w:r>
      <w:r w:rsidRPr="001454B0">
        <w:rPr>
          <w:rFonts w:ascii="Arial" w:hAnsi="Arial" w:cs="Arial"/>
          <w:bCs/>
          <w:sz w:val="22"/>
          <w:szCs w:val="22"/>
          <w:vertAlign w:val="superscript"/>
        </w:rPr>
        <w:footnoteReference w:id="1"/>
      </w:r>
      <w:r w:rsidRPr="001454B0">
        <w:rPr>
          <w:rFonts w:ascii="Arial" w:hAnsi="Arial" w:cs="Arial"/>
          <w:bCs/>
          <w:sz w:val="22"/>
          <w:szCs w:val="22"/>
        </w:rPr>
        <w:t xml:space="preserve">. Oil reserves are calculated based on the average daily domestic consumption during the previous calendar year. However, reserve holding obligations under the International Energy Program Agreement of November 18, 1974 are calculated on the basis of net imports of oil and petroleum products. For that reason and as a result of other differences in the methodology, the way in which the obligations to keep </w:t>
      </w:r>
      <w:r w:rsidRPr="001454B0">
        <w:rPr>
          <w:rFonts w:ascii="Arial" w:hAnsi="Arial" w:cs="Arial"/>
          <w:bCs/>
          <w:sz w:val="22"/>
          <w:szCs w:val="22"/>
          <w:lang w:val="en-US"/>
        </w:rPr>
        <w:t xml:space="preserve">compulsory </w:t>
      </w:r>
      <w:r w:rsidRPr="001454B0">
        <w:rPr>
          <w:rFonts w:ascii="Arial" w:hAnsi="Arial" w:cs="Arial"/>
          <w:bCs/>
          <w:sz w:val="22"/>
          <w:szCs w:val="22"/>
        </w:rPr>
        <w:t>reserves and emergency reserves of the EU are calculated, with the directive 2009/119/EC of the Council of September 14, 2009, it is stipulated that the Member States should pass laws, regulations or other administrative provisions by which the stocks of oil reserves until December 31, 2012, will be at a level of at least 90 days of average daily net import or 61 days of average daily consumption in the country, respectively which of the two quantities is bigger.</w:t>
      </w:r>
    </w:p>
    <w:p w14:paraId="23A0D183" w14:textId="77777777" w:rsidR="001454B0" w:rsidRPr="001454B0" w:rsidRDefault="001454B0" w:rsidP="001454B0">
      <w:pPr>
        <w:pStyle w:val="Default"/>
        <w:ind w:right="-22" w:firstLine="720"/>
        <w:jc w:val="both"/>
        <w:rPr>
          <w:rFonts w:ascii="Arial" w:hAnsi="Arial" w:cs="Arial"/>
          <w:bCs/>
          <w:sz w:val="22"/>
          <w:szCs w:val="22"/>
        </w:rPr>
      </w:pPr>
      <w:r w:rsidRPr="001454B0">
        <w:rPr>
          <w:rFonts w:ascii="Arial" w:hAnsi="Arial" w:cs="Arial"/>
          <w:bCs/>
          <w:sz w:val="22"/>
          <w:szCs w:val="22"/>
        </w:rPr>
        <w:t xml:space="preserve">The Law on Compulsory Oil Reserves of the RSM regulates the obligation to ensure a high level of security of the supply of crude oil and oil derivatives through the </w:t>
      </w:r>
      <w:r w:rsidRPr="001454B0">
        <w:rPr>
          <w:rFonts w:ascii="Arial" w:hAnsi="Arial" w:cs="Arial"/>
          <w:bCs/>
          <w:sz w:val="22"/>
          <w:szCs w:val="22"/>
          <w:lang w:val="en-US"/>
        </w:rPr>
        <w:t>creating</w:t>
      </w:r>
      <w:r w:rsidRPr="001454B0">
        <w:rPr>
          <w:rFonts w:ascii="Arial" w:hAnsi="Arial" w:cs="Arial"/>
          <w:bCs/>
          <w:sz w:val="22"/>
          <w:szCs w:val="22"/>
        </w:rPr>
        <w:t>, stor</w:t>
      </w:r>
      <w:r w:rsidRPr="001454B0">
        <w:rPr>
          <w:rFonts w:ascii="Arial" w:hAnsi="Arial" w:cs="Arial"/>
          <w:bCs/>
          <w:sz w:val="22"/>
          <w:szCs w:val="22"/>
          <w:lang w:val="en-US"/>
        </w:rPr>
        <w:t>ing</w:t>
      </w:r>
      <w:r w:rsidRPr="001454B0">
        <w:rPr>
          <w:rFonts w:ascii="Arial" w:hAnsi="Arial" w:cs="Arial"/>
          <w:bCs/>
          <w:sz w:val="22"/>
          <w:szCs w:val="22"/>
        </w:rPr>
        <w:t xml:space="preserve"> and maintenance of minimum </w:t>
      </w:r>
      <w:r w:rsidRPr="001454B0">
        <w:rPr>
          <w:rFonts w:ascii="Arial" w:hAnsi="Arial" w:cs="Arial"/>
          <w:bCs/>
          <w:sz w:val="22"/>
          <w:szCs w:val="22"/>
          <w:lang w:val="en-US"/>
        </w:rPr>
        <w:t>stocks</w:t>
      </w:r>
      <w:r w:rsidRPr="001454B0">
        <w:rPr>
          <w:rFonts w:ascii="Arial" w:hAnsi="Arial" w:cs="Arial"/>
          <w:bCs/>
          <w:sz w:val="22"/>
          <w:szCs w:val="22"/>
        </w:rPr>
        <w:t xml:space="preserve"> of crude oil and/or oil derivatives in the form of compulsory oil reserves. the manner and conditions </w:t>
      </w:r>
      <w:r w:rsidRPr="001454B0">
        <w:rPr>
          <w:rFonts w:ascii="Arial" w:hAnsi="Arial" w:cs="Arial"/>
          <w:bCs/>
          <w:sz w:val="22"/>
          <w:szCs w:val="22"/>
          <w:lang w:val="en-US"/>
        </w:rPr>
        <w:t>of creation</w:t>
      </w:r>
      <w:r w:rsidRPr="001454B0">
        <w:rPr>
          <w:rFonts w:ascii="Arial" w:hAnsi="Arial" w:cs="Arial"/>
          <w:bCs/>
          <w:sz w:val="22"/>
          <w:szCs w:val="22"/>
        </w:rPr>
        <w:t xml:space="preserve">, </w:t>
      </w:r>
      <w:r w:rsidRPr="001454B0">
        <w:rPr>
          <w:rFonts w:ascii="Arial" w:hAnsi="Arial" w:cs="Arial"/>
          <w:bCs/>
          <w:sz w:val="22"/>
          <w:szCs w:val="22"/>
          <w:lang w:val="en-US"/>
        </w:rPr>
        <w:t>storage</w:t>
      </w:r>
      <w:r w:rsidRPr="001454B0">
        <w:rPr>
          <w:rFonts w:ascii="Arial" w:hAnsi="Arial" w:cs="Arial"/>
          <w:bCs/>
          <w:sz w:val="22"/>
          <w:szCs w:val="22"/>
        </w:rPr>
        <w:t xml:space="preserve"> and maintain</w:t>
      </w:r>
      <w:r w:rsidRPr="001454B0">
        <w:rPr>
          <w:rFonts w:ascii="Arial" w:hAnsi="Arial" w:cs="Arial"/>
          <w:bCs/>
          <w:sz w:val="22"/>
          <w:szCs w:val="22"/>
          <w:lang w:val="en-US"/>
        </w:rPr>
        <w:t>ance of</w:t>
      </w:r>
      <w:r w:rsidRPr="001454B0">
        <w:rPr>
          <w:rFonts w:ascii="Arial" w:hAnsi="Arial" w:cs="Arial"/>
          <w:bCs/>
          <w:sz w:val="22"/>
          <w:szCs w:val="22"/>
        </w:rPr>
        <w:t xml:space="preserve"> the </w:t>
      </w:r>
      <w:r w:rsidRPr="001454B0">
        <w:rPr>
          <w:rFonts w:ascii="Arial" w:hAnsi="Arial" w:cs="Arial"/>
          <w:bCs/>
          <w:sz w:val="22"/>
          <w:szCs w:val="22"/>
          <w:lang w:val="en-US"/>
        </w:rPr>
        <w:t>compulsory</w:t>
      </w:r>
      <w:r w:rsidRPr="001454B0">
        <w:rPr>
          <w:rFonts w:ascii="Arial" w:hAnsi="Arial" w:cs="Arial"/>
          <w:bCs/>
          <w:sz w:val="22"/>
          <w:szCs w:val="22"/>
        </w:rPr>
        <w:t xml:space="preserve"> </w:t>
      </w:r>
      <w:r w:rsidRPr="001454B0">
        <w:rPr>
          <w:rFonts w:ascii="Arial" w:hAnsi="Arial" w:cs="Arial"/>
          <w:bCs/>
          <w:sz w:val="22"/>
          <w:szCs w:val="22"/>
          <w:lang w:val="en-US"/>
        </w:rPr>
        <w:t xml:space="preserve">oil </w:t>
      </w:r>
      <w:r w:rsidRPr="001454B0">
        <w:rPr>
          <w:rFonts w:ascii="Arial" w:hAnsi="Arial" w:cs="Arial"/>
          <w:bCs/>
          <w:sz w:val="22"/>
          <w:szCs w:val="22"/>
        </w:rPr>
        <w:t xml:space="preserve">reserves, introducing the necessary procedures for intervention in order to deal with a </w:t>
      </w:r>
      <w:r w:rsidRPr="001454B0">
        <w:rPr>
          <w:rFonts w:ascii="Arial" w:hAnsi="Arial" w:cs="Arial"/>
          <w:bCs/>
          <w:sz w:val="22"/>
          <w:szCs w:val="22"/>
          <w:lang w:val="en-US"/>
        </w:rPr>
        <w:t>severe</w:t>
      </w:r>
      <w:r w:rsidRPr="001454B0">
        <w:rPr>
          <w:rFonts w:ascii="Arial" w:hAnsi="Arial" w:cs="Arial"/>
          <w:bCs/>
          <w:sz w:val="22"/>
          <w:szCs w:val="22"/>
        </w:rPr>
        <w:t xml:space="preserve"> shortage</w:t>
      </w:r>
      <w:r w:rsidRPr="001454B0">
        <w:rPr>
          <w:rFonts w:ascii="Arial" w:hAnsi="Arial" w:cs="Arial"/>
          <w:bCs/>
          <w:sz w:val="22"/>
          <w:szCs w:val="22"/>
          <w:lang w:val="en-US"/>
        </w:rPr>
        <w:t>s</w:t>
      </w:r>
      <w:r w:rsidRPr="001454B0">
        <w:rPr>
          <w:rFonts w:ascii="Arial" w:hAnsi="Arial" w:cs="Arial"/>
          <w:bCs/>
          <w:sz w:val="22"/>
          <w:szCs w:val="22"/>
        </w:rPr>
        <w:t xml:space="preserve"> of </w:t>
      </w:r>
      <w:r w:rsidRPr="001454B0">
        <w:rPr>
          <w:rFonts w:ascii="Arial" w:hAnsi="Arial" w:cs="Arial"/>
          <w:bCs/>
          <w:sz w:val="22"/>
          <w:szCs w:val="22"/>
          <w:lang w:val="en-US"/>
        </w:rPr>
        <w:t>oil</w:t>
      </w:r>
      <w:r w:rsidRPr="001454B0">
        <w:rPr>
          <w:rFonts w:ascii="Arial" w:hAnsi="Arial" w:cs="Arial"/>
          <w:bCs/>
          <w:sz w:val="22"/>
          <w:szCs w:val="22"/>
        </w:rPr>
        <w:t xml:space="preserve"> </w:t>
      </w:r>
      <w:r w:rsidRPr="001454B0">
        <w:rPr>
          <w:rFonts w:ascii="Arial" w:hAnsi="Arial" w:cs="Arial"/>
          <w:bCs/>
          <w:sz w:val="22"/>
          <w:szCs w:val="22"/>
          <w:lang w:val="en-US"/>
        </w:rPr>
        <w:t>derivatives</w:t>
      </w:r>
      <w:r w:rsidRPr="001454B0">
        <w:rPr>
          <w:rFonts w:ascii="Arial" w:hAnsi="Arial" w:cs="Arial"/>
          <w:bCs/>
          <w:sz w:val="22"/>
          <w:szCs w:val="22"/>
        </w:rPr>
        <w:t xml:space="preserve"> </w:t>
      </w:r>
      <w:r w:rsidRPr="001454B0">
        <w:rPr>
          <w:rFonts w:ascii="Arial" w:hAnsi="Arial" w:cs="Arial"/>
          <w:bCs/>
          <w:sz w:val="22"/>
          <w:szCs w:val="22"/>
          <w:lang w:val="en-US"/>
        </w:rPr>
        <w:t>in</w:t>
      </w:r>
      <w:r w:rsidRPr="001454B0">
        <w:rPr>
          <w:rFonts w:ascii="Arial" w:hAnsi="Arial" w:cs="Arial"/>
          <w:bCs/>
          <w:sz w:val="22"/>
          <w:szCs w:val="22"/>
        </w:rPr>
        <w:t xml:space="preserve"> the market and other issues of importance for the </w:t>
      </w:r>
      <w:r w:rsidRPr="001454B0">
        <w:rPr>
          <w:rFonts w:ascii="Arial" w:hAnsi="Arial" w:cs="Arial"/>
          <w:bCs/>
          <w:sz w:val="22"/>
          <w:szCs w:val="22"/>
          <w:lang w:val="en-US"/>
        </w:rPr>
        <w:t>compulsory</w:t>
      </w:r>
      <w:r w:rsidRPr="001454B0">
        <w:rPr>
          <w:rFonts w:ascii="Arial" w:hAnsi="Arial" w:cs="Arial"/>
          <w:bCs/>
          <w:sz w:val="22"/>
          <w:szCs w:val="22"/>
        </w:rPr>
        <w:t xml:space="preserve"> reserves. This Law began to be applied from 01.01.2021 and it partially transposes the Directive 2009/119/EU, </w:t>
      </w:r>
      <w:r w:rsidRPr="001454B0">
        <w:rPr>
          <w:rFonts w:ascii="Arial" w:hAnsi="Arial" w:cs="Arial"/>
          <w:bCs/>
          <w:sz w:val="22"/>
          <w:szCs w:val="22"/>
          <w:lang w:val="en-US"/>
        </w:rPr>
        <w:t>compulsory</w:t>
      </w:r>
      <w:r w:rsidRPr="001454B0">
        <w:rPr>
          <w:rFonts w:ascii="Arial" w:hAnsi="Arial" w:cs="Arial"/>
          <w:bCs/>
          <w:sz w:val="22"/>
          <w:szCs w:val="22"/>
        </w:rPr>
        <w:t xml:space="preserve"> reserves should be formed gradually in order to ensure the total </w:t>
      </w:r>
      <w:r w:rsidRPr="001454B0">
        <w:rPr>
          <w:rFonts w:ascii="Arial" w:hAnsi="Arial" w:cs="Arial"/>
          <w:bCs/>
          <w:sz w:val="22"/>
          <w:szCs w:val="22"/>
          <w:lang w:val="en-US"/>
        </w:rPr>
        <w:t>compulsory</w:t>
      </w:r>
      <w:r w:rsidRPr="001454B0">
        <w:rPr>
          <w:rFonts w:ascii="Arial" w:hAnsi="Arial" w:cs="Arial"/>
          <w:bCs/>
          <w:sz w:val="22"/>
          <w:szCs w:val="22"/>
        </w:rPr>
        <w:t xml:space="preserve"> reserves kept at all times in the Republic </w:t>
      </w:r>
      <w:r w:rsidRPr="001454B0">
        <w:rPr>
          <w:rFonts w:ascii="Arial" w:hAnsi="Arial" w:cs="Arial"/>
          <w:bCs/>
          <w:sz w:val="22"/>
          <w:szCs w:val="22"/>
          <w:lang w:val="en-US"/>
        </w:rPr>
        <w:t xml:space="preserve">of N. </w:t>
      </w:r>
      <w:r w:rsidRPr="001454B0">
        <w:rPr>
          <w:rFonts w:ascii="Arial" w:hAnsi="Arial" w:cs="Arial"/>
          <w:bCs/>
          <w:sz w:val="22"/>
          <w:szCs w:val="22"/>
        </w:rPr>
        <w:t>Macedonia to correspond to at least 90 days of daily average net imports or 61 days of average daily domestic consumption, in the previous calendar year, depending on which of the two stated quantities is bigger.</w:t>
      </w:r>
    </w:p>
    <w:p w14:paraId="6B925F0F" w14:textId="77777777" w:rsidR="001454B0" w:rsidRPr="001454B0" w:rsidRDefault="001454B0" w:rsidP="001454B0">
      <w:pPr>
        <w:pStyle w:val="Default"/>
        <w:ind w:right="-22" w:firstLine="720"/>
        <w:jc w:val="both"/>
        <w:rPr>
          <w:rFonts w:ascii="Arial" w:hAnsi="Arial" w:cs="Arial"/>
          <w:bCs/>
          <w:sz w:val="22"/>
          <w:szCs w:val="22"/>
        </w:rPr>
      </w:pPr>
      <w:r w:rsidRPr="001454B0">
        <w:rPr>
          <w:rFonts w:ascii="Arial" w:hAnsi="Arial" w:cs="Arial"/>
          <w:bCs/>
          <w:sz w:val="22"/>
          <w:szCs w:val="22"/>
        </w:rPr>
        <w:t xml:space="preserve">The formation of </w:t>
      </w:r>
      <w:r w:rsidRPr="001454B0">
        <w:rPr>
          <w:rFonts w:ascii="Arial" w:hAnsi="Arial" w:cs="Arial"/>
          <w:bCs/>
          <w:sz w:val="22"/>
          <w:szCs w:val="22"/>
          <w:lang w:val="en-US"/>
        </w:rPr>
        <w:t>compulsory</w:t>
      </w:r>
      <w:r w:rsidRPr="001454B0">
        <w:rPr>
          <w:rFonts w:ascii="Arial" w:hAnsi="Arial" w:cs="Arial"/>
          <w:bCs/>
          <w:sz w:val="22"/>
          <w:szCs w:val="22"/>
        </w:rPr>
        <w:t xml:space="preserve"> reserves of oil and oil derivatives is a process of procurement of crude oil and/or oil derivatives and their storage in storage facilities, thus providing conditions for intervention supply to the market with oil derivatives in case of disruption of the energy security of the state caused by large-scale supply disruptions. The central body for keeping oil reserves is the RSM </w:t>
      </w:r>
      <w:r w:rsidRPr="001454B0">
        <w:rPr>
          <w:rFonts w:ascii="Arial" w:hAnsi="Arial" w:cs="Arial"/>
          <w:bCs/>
          <w:sz w:val="22"/>
          <w:szCs w:val="22"/>
          <w:lang w:val="en-US"/>
        </w:rPr>
        <w:t>is Compulsory</w:t>
      </w:r>
      <w:r w:rsidRPr="001454B0">
        <w:rPr>
          <w:rFonts w:ascii="Arial" w:hAnsi="Arial" w:cs="Arial"/>
          <w:bCs/>
          <w:sz w:val="22"/>
          <w:szCs w:val="22"/>
        </w:rPr>
        <w:t xml:space="preserve"> Oil Reserves Agency, which is authorized to establish, </w:t>
      </w:r>
      <w:r w:rsidRPr="001454B0">
        <w:rPr>
          <w:rFonts w:ascii="Arial" w:hAnsi="Arial" w:cs="Arial"/>
          <w:bCs/>
          <w:sz w:val="22"/>
          <w:szCs w:val="22"/>
          <w:lang w:val="en-US"/>
        </w:rPr>
        <w:t>maintenance</w:t>
      </w:r>
      <w:r w:rsidRPr="001454B0">
        <w:rPr>
          <w:rFonts w:ascii="Arial" w:hAnsi="Arial" w:cs="Arial"/>
          <w:bCs/>
          <w:sz w:val="22"/>
          <w:szCs w:val="22"/>
        </w:rPr>
        <w:t xml:space="preserve">, </w:t>
      </w:r>
      <w:r w:rsidRPr="001454B0">
        <w:rPr>
          <w:rFonts w:ascii="Arial" w:hAnsi="Arial" w:cs="Arial"/>
          <w:bCs/>
          <w:sz w:val="22"/>
          <w:szCs w:val="22"/>
          <w:lang w:val="en-US"/>
        </w:rPr>
        <w:t>storage</w:t>
      </w:r>
      <w:r w:rsidRPr="001454B0">
        <w:rPr>
          <w:rFonts w:ascii="Arial" w:hAnsi="Arial" w:cs="Arial"/>
          <w:bCs/>
          <w:sz w:val="22"/>
          <w:szCs w:val="22"/>
        </w:rPr>
        <w:t xml:space="preserve"> and sell</w:t>
      </w:r>
      <w:r w:rsidRPr="001454B0">
        <w:rPr>
          <w:rFonts w:ascii="Arial" w:hAnsi="Arial" w:cs="Arial"/>
          <w:bCs/>
          <w:sz w:val="22"/>
          <w:szCs w:val="22"/>
          <w:lang w:val="en-US"/>
        </w:rPr>
        <w:t>ing of the</w:t>
      </w:r>
      <w:r w:rsidRPr="001454B0">
        <w:rPr>
          <w:rFonts w:ascii="Arial" w:hAnsi="Arial" w:cs="Arial"/>
          <w:bCs/>
          <w:sz w:val="22"/>
          <w:szCs w:val="22"/>
        </w:rPr>
        <w:t xml:space="preserve"> </w:t>
      </w:r>
      <w:r w:rsidRPr="001454B0">
        <w:rPr>
          <w:rFonts w:ascii="Arial" w:hAnsi="Arial" w:cs="Arial"/>
          <w:bCs/>
          <w:sz w:val="22"/>
          <w:szCs w:val="22"/>
          <w:lang w:val="en-US"/>
        </w:rPr>
        <w:t>compulsory oil</w:t>
      </w:r>
      <w:r w:rsidRPr="001454B0">
        <w:rPr>
          <w:rFonts w:ascii="Arial" w:hAnsi="Arial" w:cs="Arial"/>
          <w:bCs/>
          <w:sz w:val="22"/>
          <w:szCs w:val="22"/>
        </w:rPr>
        <w:t xml:space="preserve"> reserves. </w:t>
      </w:r>
      <w:r w:rsidRPr="001454B0">
        <w:rPr>
          <w:rFonts w:ascii="Arial" w:hAnsi="Arial" w:cs="Arial"/>
          <w:bCs/>
          <w:sz w:val="22"/>
          <w:szCs w:val="22"/>
          <w:lang w:val="en-US"/>
        </w:rPr>
        <w:t>Storage and maintenance of</w:t>
      </w:r>
      <w:r w:rsidRPr="001454B0">
        <w:rPr>
          <w:rFonts w:ascii="Arial" w:hAnsi="Arial" w:cs="Arial"/>
          <w:bCs/>
          <w:sz w:val="22"/>
          <w:szCs w:val="22"/>
        </w:rPr>
        <w:t xml:space="preserve"> the oil reserves is the responsibility of the trading companies – warehouses </w:t>
      </w:r>
      <w:r w:rsidRPr="001454B0">
        <w:rPr>
          <w:rFonts w:ascii="Arial" w:hAnsi="Arial" w:cs="Arial"/>
          <w:bCs/>
          <w:sz w:val="22"/>
          <w:szCs w:val="22"/>
          <w:lang w:val="en-US"/>
        </w:rPr>
        <w:t>keepers</w:t>
      </w:r>
      <w:r w:rsidRPr="001454B0">
        <w:rPr>
          <w:rFonts w:ascii="Arial" w:hAnsi="Arial" w:cs="Arial"/>
          <w:bCs/>
          <w:sz w:val="22"/>
          <w:szCs w:val="22"/>
        </w:rPr>
        <w:t xml:space="preserve">, which in their tank capacities should store, keep and replenish crude oil and/or oil derivatives from the </w:t>
      </w:r>
      <w:r w:rsidRPr="001454B0">
        <w:rPr>
          <w:rFonts w:ascii="Arial" w:hAnsi="Arial" w:cs="Arial"/>
          <w:bCs/>
          <w:sz w:val="22"/>
          <w:szCs w:val="22"/>
          <w:lang w:val="en-US"/>
        </w:rPr>
        <w:t>compulsory</w:t>
      </w:r>
      <w:r w:rsidRPr="001454B0">
        <w:rPr>
          <w:rFonts w:ascii="Arial" w:hAnsi="Arial" w:cs="Arial"/>
          <w:bCs/>
          <w:sz w:val="22"/>
          <w:szCs w:val="22"/>
        </w:rPr>
        <w:t xml:space="preserve"> reserves.</w:t>
      </w:r>
    </w:p>
    <w:p w14:paraId="4317A6C8" w14:textId="77777777" w:rsidR="001454B0" w:rsidRPr="001454B0" w:rsidRDefault="001454B0" w:rsidP="001454B0">
      <w:pPr>
        <w:ind w:right="-22" w:firstLine="720"/>
        <w:jc w:val="both"/>
        <w:rPr>
          <w:rFonts w:ascii="Arial" w:hAnsi="Arial" w:cs="Arial"/>
          <w:i/>
        </w:rPr>
      </w:pPr>
      <w:r w:rsidRPr="001454B0">
        <w:rPr>
          <w:rFonts w:ascii="Arial" w:hAnsi="Arial" w:cs="Arial"/>
          <w:i/>
        </w:rPr>
        <w:lastRenderedPageBreak/>
        <w:t>Key words: compulsory oil reserves, average daily domestic consumption of oil and oil products, net imports of oil and oil products, action plan for the establishment of compulsory reserves, disruption in the supply of oil derivatives.</w:t>
      </w:r>
    </w:p>
    <w:p w14:paraId="7D661D6B" w14:textId="77777777" w:rsidR="001454B0" w:rsidRPr="001454B0" w:rsidRDefault="001454B0" w:rsidP="001454B0">
      <w:pPr>
        <w:ind w:right="-22" w:firstLine="720"/>
        <w:jc w:val="both"/>
        <w:rPr>
          <w:rFonts w:ascii="Arial" w:hAnsi="Arial" w:cs="Arial"/>
          <w:b/>
          <w:bCs/>
          <w:i/>
        </w:rPr>
      </w:pPr>
    </w:p>
    <w:p w14:paraId="48061DA3" w14:textId="77777777" w:rsidR="001454B0" w:rsidRPr="001454B0" w:rsidRDefault="001454B0" w:rsidP="001454B0">
      <w:pPr>
        <w:jc w:val="center"/>
        <w:rPr>
          <w:rFonts w:ascii="Arial" w:hAnsi="Arial" w:cs="Arial"/>
          <w:b/>
        </w:rPr>
      </w:pPr>
      <w:r w:rsidRPr="001454B0">
        <w:rPr>
          <w:rFonts w:ascii="Arial" w:hAnsi="Arial" w:cs="Arial"/>
          <w:b/>
        </w:rPr>
        <w:t>INTRODUCTION</w:t>
      </w:r>
    </w:p>
    <w:p w14:paraId="2DABDB25" w14:textId="77777777" w:rsidR="001454B0" w:rsidRPr="001454B0" w:rsidRDefault="001454B0" w:rsidP="001454B0">
      <w:pPr>
        <w:pStyle w:val="Default"/>
        <w:ind w:right="-22" w:firstLine="437"/>
        <w:jc w:val="both"/>
        <w:rPr>
          <w:rFonts w:ascii="Arial" w:hAnsi="Arial" w:cs="Arial"/>
          <w:color w:val="auto"/>
          <w:sz w:val="22"/>
          <w:szCs w:val="22"/>
          <w:lang w:val="en-US"/>
        </w:rPr>
      </w:pPr>
      <w:r w:rsidRPr="001454B0">
        <w:rPr>
          <w:rFonts w:ascii="Arial" w:hAnsi="Arial" w:cs="Arial"/>
          <w:color w:val="auto"/>
          <w:sz w:val="22"/>
          <w:szCs w:val="22"/>
        </w:rPr>
        <w:t xml:space="preserve">Availability of oil reserves and security of energy supply are important elements of security for OECD and EU member countries. The </w:t>
      </w:r>
      <w:r w:rsidRPr="001454B0">
        <w:rPr>
          <w:rFonts w:ascii="Arial" w:hAnsi="Arial" w:cs="Arial"/>
          <w:color w:val="auto"/>
          <w:sz w:val="22"/>
          <w:szCs w:val="22"/>
          <w:lang w:val="en-US"/>
        </w:rPr>
        <w:t xml:space="preserve">Agreement on an </w:t>
      </w:r>
      <w:r w:rsidRPr="001454B0">
        <w:rPr>
          <w:rFonts w:ascii="Arial" w:hAnsi="Arial" w:cs="Arial"/>
          <w:color w:val="auto"/>
          <w:sz w:val="22"/>
          <w:szCs w:val="22"/>
        </w:rPr>
        <w:t xml:space="preserve">International Energy Program Agreement (IEP) was signed in 1974 by several OECD member countries in order to ensure a stable supply of oil in the face of an oil crisis. The IEP envisaged the creation of the International Energy Agency (IEA), an autonomous body operating within the OECD. The IEA sets its own priorities and has independent decision-making structures. In addition to OECD membership, countries wishing to join the IEA as a prerequisite should also maintain substantial oil reserves (90 days of net imports) and be prepared to respond to any major risk of undersupply through oil loans and jointly built measures to deal with the situation in terms of increased demand for oil and oil derivatives. Strategic decisions in the IEA are made by the Management Board, usually by consensus, but majority voting is also possible. The IEA's voting system is primarily based on net oil imports in 1973 and has never been replaced by another calculation method. The IEA is funded primarily by its member states on the basis of their economic power, but also relies on additional inflows of funds from individual member states, as well as funds raised through publications and statistics. The </w:t>
      </w:r>
      <w:r w:rsidRPr="001454B0">
        <w:rPr>
          <w:rFonts w:ascii="Arial" w:hAnsi="Arial" w:cs="Arial"/>
          <w:color w:val="auto"/>
          <w:sz w:val="22"/>
          <w:szCs w:val="22"/>
          <w:lang w:val="en-US"/>
        </w:rPr>
        <w:t>r</w:t>
      </w:r>
      <w:r w:rsidRPr="001454B0">
        <w:rPr>
          <w:rFonts w:ascii="Arial" w:hAnsi="Arial" w:cs="Arial"/>
          <w:color w:val="auto"/>
          <w:sz w:val="22"/>
          <w:szCs w:val="22"/>
        </w:rPr>
        <w:t xml:space="preserve">apid </w:t>
      </w:r>
      <w:r w:rsidRPr="001454B0">
        <w:rPr>
          <w:rFonts w:ascii="Arial" w:hAnsi="Arial" w:cs="Arial"/>
          <w:color w:val="auto"/>
          <w:sz w:val="22"/>
          <w:szCs w:val="22"/>
          <w:lang w:val="en-US"/>
        </w:rPr>
        <w:t>r</w:t>
      </w:r>
      <w:r w:rsidRPr="001454B0">
        <w:rPr>
          <w:rFonts w:ascii="Arial" w:hAnsi="Arial" w:cs="Arial"/>
          <w:color w:val="auto"/>
          <w:sz w:val="22"/>
          <w:szCs w:val="22"/>
        </w:rPr>
        <w:t xml:space="preserve">esponse </w:t>
      </w:r>
      <w:r w:rsidRPr="001454B0">
        <w:rPr>
          <w:rFonts w:ascii="Arial" w:hAnsi="Arial" w:cs="Arial"/>
          <w:color w:val="auto"/>
          <w:sz w:val="22"/>
          <w:szCs w:val="22"/>
          <w:lang w:val="en-US"/>
        </w:rPr>
        <w:t>p</w:t>
      </w:r>
      <w:r w:rsidRPr="001454B0">
        <w:rPr>
          <w:rFonts w:ascii="Arial" w:hAnsi="Arial" w:cs="Arial"/>
          <w:color w:val="auto"/>
          <w:sz w:val="22"/>
          <w:szCs w:val="22"/>
        </w:rPr>
        <w:t xml:space="preserve">rogram to </w:t>
      </w:r>
      <w:r w:rsidRPr="001454B0">
        <w:rPr>
          <w:rFonts w:ascii="Arial" w:hAnsi="Arial" w:cs="Arial"/>
          <w:color w:val="auto"/>
          <w:sz w:val="22"/>
          <w:szCs w:val="22"/>
          <w:lang w:val="en-US"/>
        </w:rPr>
        <w:t>o</w:t>
      </w:r>
      <w:r w:rsidRPr="001454B0">
        <w:rPr>
          <w:rFonts w:ascii="Arial" w:hAnsi="Arial" w:cs="Arial"/>
          <w:color w:val="auto"/>
          <w:sz w:val="22"/>
          <w:szCs w:val="22"/>
        </w:rPr>
        <w:t xml:space="preserve">il </w:t>
      </w:r>
      <w:r w:rsidRPr="001454B0">
        <w:rPr>
          <w:rFonts w:ascii="Arial" w:hAnsi="Arial" w:cs="Arial"/>
          <w:color w:val="auto"/>
          <w:sz w:val="22"/>
          <w:szCs w:val="22"/>
          <w:lang w:val="en-US"/>
        </w:rPr>
        <w:t>s</w:t>
      </w:r>
      <w:r w:rsidRPr="001454B0">
        <w:rPr>
          <w:rFonts w:ascii="Arial" w:hAnsi="Arial" w:cs="Arial"/>
          <w:color w:val="auto"/>
          <w:sz w:val="22"/>
          <w:szCs w:val="22"/>
        </w:rPr>
        <w:t xml:space="preserve">hortage </w:t>
      </w:r>
      <w:r w:rsidRPr="001454B0">
        <w:rPr>
          <w:rFonts w:ascii="Arial" w:hAnsi="Arial" w:cs="Arial"/>
          <w:color w:val="auto"/>
          <w:sz w:val="22"/>
          <w:szCs w:val="22"/>
          <w:lang w:val="en-US"/>
        </w:rPr>
        <w:t>e</w:t>
      </w:r>
      <w:r w:rsidRPr="001454B0">
        <w:rPr>
          <w:rFonts w:ascii="Arial" w:hAnsi="Arial" w:cs="Arial"/>
          <w:color w:val="auto"/>
          <w:sz w:val="22"/>
          <w:szCs w:val="22"/>
        </w:rPr>
        <w:t>mergency constitutes the bulk of the IEP. The IEA deals with risks to the oil supply through the Coordinated Emergency Response Mechanism (CERM), which was introduced in 1984. CERM has been successfully implemented in three cases in the past. The IEA also focuses on other issues, such as: global energy dialogue, encouraging technological development in the energy field, developing closer ties between member governments and finding effective solutions for energy efficiency, combating climate change and dealing with supply risks in various energy sectors.</w:t>
      </w:r>
    </w:p>
    <w:p w14:paraId="3502E79E" w14:textId="77777777" w:rsidR="001454B0" w:rsidRPr="001454B0" w:rsidRDefault="001454B0" w:rsidP="001454B0">
      <w:pPr>
        <w:pStyle w:val="Default"/>
        <w:ind w:right="-22" w:firstLine="437"/>
        <w:jc w:val="both"/>
        <w:rPr>
          <w:rFonts w:ascii="Arial" w:hAnsi="Arial" w:cs="Arial"/>
          <w:color w:val="auto"/>
          <w:sz w:val="22"/>
          <w:szCs w:val="22"/>
        </w:rPr>
      </w:pPr>
      <w:r w:rsidRPr="001454B0">
        <w:rPr>
          <w:rFonts w:ascii="Arial" w:hAnsi="Arial" w:cs="Arial"/>
          <w:color w:val="auto"/>
          <w:sz w:val="22"/>
          <w:szCs w:val="22"/>
        </w:rPr>
        <w:t>Cooperation between the IEA and the EU is deepening, given that the two organizations share many common goals, as well as the fact that 20 of the 29 IEA member countries are also EU member states. The IEA is increasingly active in market monitoring of major energy sources for trading (oil, gas, coal and renewables) and regularly advises on policy making and guidance to national governments and at international for</w:t>
      </w:r>
      <w:r w:rsidRPr="001454B0">
        <w:rPr>
          <w:rFonts w:ascii="Arial" w:hAnsi="Arial" w:cs="Arial"/>
          <w:color w:val="auto"/>
          <w:sz w:val="22"/>
          <w:szCs w:val="22"/>
          <w:lang w:val="en-US"/>
        </w:rPr>
        <w:t>ums</w:t>
      </w:r>
      <w:r w:rsidRPr="001454B0">
        <w:rPr>
          <w:rFonts w:ascii="Arial" w:hAnsi="Arial" w:cs="Arial"/>
          <w:color w:val="auto"/>
          <w:sz w:val="22"/>
          <w:szCs w:val="22"/>
        </w:rPr>
        <w:t xml:space="preserve"> including the G8, G20 and The United Nations Framework Convention on Climate Change. The IEA cooperates closely in the dialogue between producers and consumers, but also among other international bodies in the field of energy, such as the International Renewable Energy Agency and the International Energy Forum. The IEA also works closely with the European Commission and other EU institutions in various areas, including the introduction of new technologies.</w:t>
      </w:r>
      <w:r w:rsidRPr="001454B0">
        <w:rPr>
          <w:rStyle w:val="FootnoteReference"/>
          <w:rFonts w:ascii="Arial" w:hAnsi="Arial" w:cs="Arial"/>
          <w:color w:val="auto"/>
          <w:sz w:val="22"/>
          <w:szCs w:val="22"/>
        </w:rPr>
        <w:footnoteReference w:id="2"/>
      </w:r>
      <w:r w:rsidRPr="001454B0">
        <w:rPr>
          <w:rFonts w:ascii="Arial" w:hAnsi="Arial" w:cs="Arial"/>
          <w:color w:val="auto"/>
          <w:sz w:val="22"/>
          <w:szCs w:val="22"/>
        </w:rPr>
        <w:t xml:space="preserve"> </w:t>
      </w:r>
    </w:p>
    <w:p w14:paraId="4B7C75AF" w14:textId="77777777" w:rsidR="001454B0" w:rsidRDefault="001454B0" w:rsidP="001454B0">
      <w:pPr>
        <w:pStyle w:val="Default"/>
        <w:ind w:right="-22" w:firstLine="437"/>
        <w:jc w:val="both"/>
        <w:rPr>
          <w:rFonts w:ascii="Arial" w:hAnsi="Arial" w:cs="Arial"/>
          <w:color w:val="auto"/>
          <w:sz w:val="22"/>
          <w:szCs w:val="22"/>
          <w:lang w:val="en-US"/>
        </w:rPr>
      </w:pPr>
      <w:r w:rsidRPr="001454B0">
        <w:rPr>
          <w:rFonts w:ascii="Arial" w:hAnsi="Arial" w:cs="Arial"/>
          <w:color w:val="auto"/>
          <w:sz w:val="22"/>
          <w:szCs w:val="22"/>
        </w:rPr>
        <w:t xml:space="preserve">Macedonia implements EU directives in the field of </w:t>
      </w:r>
      <w:r w:rsidRPr="001454B0">
        <w:rPr>
          <w:rFonts w:ascii="Arial" w:hAnsi="Arial" w:cs="Arial"/>
          <w:color w:val="auto"/>
          <w:sz w:val="22"/>
          <w:szCs w:val="22"/>
          <w:lang w:val="en-US"/>
        </w:rPr>
        <w:t>compulsory</w:t>
      </w:r>
      <w:r w:rsidRPr="001454B0">
        <w:rPr>
          <w:rFonts w:ascii="Arial" w:hAnsi="Arial" w:cs="Arial"/>
          <w:color w:val="auto"/>
          <w:sz w:val="22"/>
          <w:szCs w:val="22"/>
        </w:rPr>
        <w:t xml:space="preserve"> oil reserves in the Law on Mandatory Oil Reserves, but also in the by-laws. The Agency for Compulsory Oil Reserves was established in accordance with the law and is responsible for the establishment, maintenance, storage and sale of the compulsory oil reserves of the RSM.</w:t>
      </w:r>
    </w:p>
    <w:p w14:paraId="2039D0DB" w14:textId="77777777" w:rsidR="001454B0" w:rsidRPr="001454B0" w:rsidRDefault="001454B0" w:rsidP="001454B0">
      <w:pPr>
        <w:pStyle w:val="Default"/>
        <w:ind w:right="-22" w:firstLine="437"/>
        <w:jc w:val="both"/>
        <w:rPr>
          <w:rFonts w:ascii="Arial" w:hAnsi="Arial" w:cs="Arial"/>
          <w:color w:val="auto"/>
          <w:sz w:val="22"/>
          <w:szCs w:val="22"/>
          <w:lang w:val="en-US"/>
        </w:rPr>
      </w:pPr>
    </w:p>
    <w:p w14:paraId="00BB99E3" w14:textId="77777777" w:rsidR="001454B0" w:rsidRPr="001454B0" w:rsidRDefault="001454B0" w:rsidP="001454B0">
      <w:pPr>
        <w:jc w:val="center"/>
        <w:rPr>
          <w:rFonts w:ascii="Arial" w:hAnsi="Arial" w:cs="Arial"/>
          <w:b/>
        </w:rPr>
      </w:pPr>
      <w:r w:rsidRPr="001454B0">
        <w:rPr>
          <w:rFonts w:ascii="Arial" w:hAnsi="Arial" w:cs="Arial"/>
          <w:b/>
        </w:rPr>
        <w:t>Obligation of EU member states to keep minimum reserves of crude oil and/or oil products</w:t>
      </w:r>
    </w:p>
    <w:p w14:paraId="380B4EBD" w14:textId="77777777" w:rsidR="001454B0" w:rsidRPr="001454B0" w:rsidRDefault="001454B0" w:rsidP="001454B0">
      <w:pPr>
        <w:pStyle w:val="Default"/>
        <w:ind w:right="119" w:firstLine="720"/>
        <w:jc w:val="both"/>
        <w:rPr>
          <w:rFonts w:ascii="Arial" w:hAnsi="Arial" w:cs="Arial"/>
          <w:sz w:val="22"/>
          <w:szCs w:val="22"/>
        </w:rPr>
      </w:pPr>
      <w:r w:rsidRPr="001454B0">
        <w:rPr>
          <w:rFonts w:ascii="Arial" w:hAnsi="Arial" w:cs="Arial"/>
          <w:sz w:val="22"/>
          <w:szCs w:val="22"/>
        </w:rPr>
        <w:t xml:space="preserve">The concentration of oil production, the reduction of oil reserves and the increased consumption of oil products worldwide contribute to an increased risk of supply difficulties. The supply of crude oil and oil products in the EU is a very important issue, especially for the transport sector and the chemical industry. </w:t>
      </w:r>
      <w:r w:rsidRPr="001454B0">
        <w:rPr>
          <w:rFonts w:ascii="Arial" w:hAnsi="Arial" w:cs="Arial"/>
          <w:sz w:val="22"/>
          <w:szCs w:val="22"/>
        </w:rPr>
        <w:footnoteReference w:id="3"/>
      </w:r>
    </w:p>
    <w:p w14:paraId="24D8881F" w14:textId="77777777" w:rsidR="001454B0" w:rsidRPr="001454B0" w:rsidRDefault="001454B0" w:rsidP="001454B0">
      <w:pPr>
        <w:pStyle w:val="Default"/>
        <w:ind w:right="119" w:firstLine="720"/>
        <w:jc w:val="both"/>
        <w:rPr>
          <w:rFonts w:ascii="Arial" w:hAnsi="Arial" w:cs="Arial"/>
          <w:sz w:val="22"/>
          <w:szCs w:val="22"/>
          <w:lang w:val="en-US"/>
        </w:rPr>
      </w:pPr>
      <w:r w:rsidRPr="001454B0">
        <w:rPr>
          <w:rFonts w:ascii="Arial" w:hAnsi="Arial" w:cs="Arial"/>
          <w:sz w:val="22"/>
          <w:szCs w:val="22"/>
        </w:rPr>
        <w:lastRenderedPageBreak/>
        <w:t xml:space="preserve">In the Action Plan 2007 to 2009, within the "Energy Policy of Europe", the European Council emphasized the need to strengthen the security of the supply of </w:t>
      </w:r>
      <w:r w:rsidRPr="001454B0">
        <w:rPr>
          <w:rFonts w:ascii="Arial" w:hAnsi="Arial" w:cs="Arial"/>
          <w:sz w:val="22"/>
          <w:szCs w:val="22"/>
          <w:lang w:val="en-US"/>
        </w:rPr>
        <w:t>oil</w:t>
      </w:r>
      <w:r w:rsidRPr="001454B0">
        <w:rPr>
          <w:rFonts w:ascii="Arial" w:hAnsi="Arial" w:cs="Arial"/>
          <w:sz w:val="22"/>
          <w:szCs w:val="22"/>
        </w:rPr>
        <w:t xml:space="preserve"> </w:t>
      </w:r>
      <w:r w:rsidRPr="001454B0">
        <w:rPr>
          <w:rFonts w:ascii="Arial" w:hAnsi="Arial" w:cs="Arial"/>
          <w:sz w:val="22"/>
          <w:szCs w:val="22"/>
          <w:lang w:val="en-US"/>
        </w:rPr>
        <w:t>derivatives</w:t>
      </w:r>
      <w:r w:rsidRPr="001454B0">
        <w:rPr>
          <w:rFonts w:ascii="Arial" w:hAnsi="Arial" w:cs="Arial"/>
          <w:sz w:val="22"/>
          <w:szCs w:val="22"/>
        </w:rPr>
        <w:t xml:space="preserve"> within the European Union, as well as for each EU member state separately, with the aim of availability of oil and oil derivatives in case of crises.</w:t>
      </w:r>
    </w:p>
    <w:p w14:paraId="21EADBF0" w14:textId="77777777" w:rsidR="001454B0" w:rsidRPr="001454B0" w:rsidRDefault="001454B0" w:rsidP="001454B0">
      <w:pPr>
        <w:pStyle w:val="Default"/>
        <w:ind w:right="119" w:firstLine="720"/>
        <w:jc w:val="both"/>
        <w:rPr>
          <w:rFonts w:ascii="Arial" w:hAnsi="Arial" w:cs="Arial"/>
          <w:sz w:val="22"/>
          <w:szCs w:val="22"/>
        </w:rPr>
      </w:pPr>
      <w:r w:rsidRPr="001454B0">
        <w:rPr>
          <w:rFonts w:ascii="Arial" w:hAnsi="Arial" w:cs="Arial"/>
          <w:sz w:val="22"/>
          <w:szCs w:val="22"/>
        </w:rPr>
        <w:t>With the Energy Policy of Europe, a greater convergence has been made between the EU system and the system envisaged by the International Energy Agency.</w:t>
      </w:r>
    </w:p>
    <w:p w14:paraId="4A045563" w14:textId="77777777" w:rsidR="001454B0" w:rsidRPr="001454B0" w:rsidRDefault="001454B0" w:rsidP="001454B0">
      <w:pPr>
        <w:pStyle w:val="Default"/>
        <w:ind w:right="119" w:firstLine="720"/>
        <w:jc w:val="both"/>
        <w:rPr>
          <w:rFonts w:ascii="Arial" w:hAnsi="Arial" w:cs="Arial"/>
          <w:sz w:val="22"/>
          <w:szCs w:val="22"/>
          <w:lang w:val="en-US"/>
        </w:rPr>
      </w:pPr>
      <w:r w:rsidRPr="001454B0">
        <w:rPr>
          <w:rFonts w:ascii="Arial" w:hAnsi="Arial" w:cs="Arial"/>
          <w:sz w:val="22"/>
          <w:szCs w:val="22"/>
        </w:rPr>
        <w:t xml:space="preserve">Within the EU member states there are central authorities (CSE) for the management of </w:t>
      </w:r>
      <w:r w:rsidRPr="001454B0">
        <w:rPr>
          <w:rFonts w:ascii="Arial" w:hAnsi="Arial" w:cs="Arial"/>
          <w:sz w:val="22"/>
          <w:szCs w:val="22"/>
          <w:lang w:val="en-US"/>
        </w:rPr>
        <w:t xml:space="preserve">oil </w:t>
      </w:r>
      <w:r w:rsidRPr="001454B0">
        <w:rPr>
          <w:rFonts w:ascii="Arial" w:hAnsi="Arial" w:cs="Arial"/>
          <w:sz w:val="22"/>
          <w:szCs w:val="22"/>
        </w:rPr>
        <w:t xml:space="preserve">reserves and oil derivatives. In order to allow the Member States to make optimal use of national law to determine the terms of their CSEs, while alleviating the financial burden on end-users arising as a consequence of such stock-holding activities, </w:t>
      </w:r>
      <w:r w:rsidRPr="001454B0">
        <w:rPr>
          <w:rFonts w:ascii="Arial" w:hAnsi="Arial" w:cs="Arial"/>
          <w:sz w:val="22"/>
          <w:szCs w:val="22"/>
          <w:lang w:val="en-US"/>
        </w:rPr>
        <w:t>it</w:t>
      </w:r>
      <w:r w:rsidRPr="001454B0">
        <w:rPr>
          <w:rFonts w:ascii="Arial" w:hAnsi="Arial" w:cs="Arial"/>
          <w:sz w:val="22"/>
          <w:szCs w:val="22"/>
        </w:rPr>
        <w:t xml:space="preserve"> is prohibited </w:t>
      </w:r>
      <w:r w:rsidRPr="001454B0">
        <w:rPr>
          <w:rFonts w:ascii="Arial" w:hAnsi="Arial" w:cs="Arial"/>
          <w:sz w:val="22"/>
          <w:szCs w:val="22"/>
          <w:lang w:val="en-US"/>
        </w:rPr>
        <w:t xml:space="preserve">the use </w:t>
      </w:r>
      <w:r w:rsidRPr="001454B0">
        <w:rPr>
          <w:rFonts w:ascii="Arial" w:hAnsi="Arial" w:cs="Arial"/>
          <w:sz w:val="22"/>
          <w:szCs w:val="22"/>
        </w:rPr>
        <w:t xml:space="preserve">of petroleum reserves for business purposes and </w:t>
      </w:r>
      <w:r w:rsidRPr="001454B0">
        <w:rPr>
          <w:rFonts w:ascii="Arial" w:hAnsi="Arial" w:cs="Arial"/>
          <w:sz w:val="22"/>
          <w:szCs w:val="22"/>
          <w:lang w:val="en-US"/>
        </w:rPr>
        <w:t xml:space="preserve">it is </w:t>
      </w:r>
      <w:r w:rsidRPr="001454B0">
        <w:rPr>
          <w:rFonts w:ascii="Arial" w:hAnsi="Arial" w:cs="Arial"/>
          <w:sz w:val="22"/>
          <w:szCs w:val="22"/>
        </w:rPr>
        <w:t>allow</w:t>
      </w:r>
      <w:r w:rsidRPr="001454B0">
        <w:rPr>
          <w:rFonts w:ascii="Arial" w:hAnsi="Arial" w:cs="Arial"/>
          <w:sz w:val="22"/>
          <w:szCs w:val="22"/>
          <w:lang w:val="en-US"/>
        </w:rPr>
        <w:t>ed</w:t>
      </w:r>
      <w:r w:rsidRPr="001454B0">
        <w:rPr>
          <w:rFonts w:ascii="Arial" w:hAnsi="Arial" w:cs="Arial"/>
          <w:sz w:val="22"/>
          <w:szCs w:val="22"/>
        </w:rPr>
        <w:t xml:space="preserve"> the reserves to be held in any location in the Community and in any CSE established for that purpose.</w:t>
      </w:r>
    </w:p>
    <w:p w14:paraId="234C9095" w14:textId="77777777" w:rsidR="001454B0" w:rsidRPr="001454B0" w:rsidRDefault="001454B0" w:rsidP="001454B0">
      <w:pPr>
        <w:pStyle w:val="Default"/>
        <w:ind w:right="119" w:firstLine="720"/>
        <w:jc w:val="both"/>
        <w:rPr>
          <w:rFonts w:ascii="Arial" w:hAnsi="Arial" w:cs="Arial"/>
          <w:sz w:val="22"/>
          <w:szCs w:val="22"/>
        </w:rPr>
      </w:pPr>
      <w:r w:rsidRPr="001454B0">
        <w:rPr>
          <w:rFonts w:ascii="Arial" w:hAnsi="Arial" w:cs="Arial"/>
          <w:sz w:val="22"/>
          <w:szCs w:val="22"/>
        </w:rPr>
        <w:t xml:space="preserve">EU Member States should ensure the full availability of all </w:t>
      </w:r>
      <w:r w:rsidRPr="001454B0">
        <w:rPr>
          <w:rFonts w:ascii="Arial" w:hAnsi="Arial" w:cs="Arial"/>
          <w:sz w:val="22"/>
          <w:szCs w:val="22"/>
          <w:lang w:val="en-US"/>
        </w:rPr>
        <w:t xml:space="preserve">oil </w:t>
      </w:r>
      <w:r w:rsidRPr="001454B0">
        <w:rPr>
          <w:rFonts w:ascii="Arial" w:hAnsi="Arial" w:cs="Arial"/>
          <w:sz w:val="22"/>
          <w:szCs w:val="22"/>
        </w:rPr>
        <w:t>reserves held in accordance with Community legislation. In order to enable Member States to react quickly in cases of emergency or local crises, they are allowed to use part of their reserves to deal with crisis situations. Emergencies of this type or local crises do not include situations caused by changes in the prices of crude oil or petroleum products, but may include interruptions in the supply of natural gas that would require a change of fuel, that is, the use of crude oil or petroleum products as a fuel for energy production. Reserves that are held in accordance with bilateral agreements or contractual rights to purchase certain quantities of reserves (receipts) should be in compliance with the European Directives.</w:t>
      </w:r>
    </w:p>
    <w:p w14:paraId="4B5360E5" w14:textId="77777777" w:rsidR="001454B0" w:rsidRPr="001454B0" w:rsidRDefault="001454B0" w:rsidP="001454B0">
      <w:pPr>
        <w:pStyle w:val="Default"/>
        <w:ind w:right="119" w:firstLine="720"/>
        <w:jc w:val="both"/>
        <w:rPr>
          <w:rFonts w:ascii="Arial" w:hAnsi="Arial" w:cs="Arial"/>
          <w:sz w:val="22"/>
          <w:szCs w:val="22"/>
        </w:rPr>
      </w:pPr>
      <w:r w:rsidRPr="001454B0">
        <w:rPr>
          <w:rFonts w:ascii="Arial" w:hAnsi="Arial" w:cs="Arial"/>
          <w:sz w:val="22"/>
          <w:szCs w:val="22"/>
        </w:rPr>
        <w:t xml:space="preserve">In order to strengthen the security of supply in the Community, the reserves known as "special reserves", purchased by the Member States or by the CSE and created on the basis of decisions taken by the Member States should correspond to the real needs in cases of crisis. CSEs should have a special legal status to ensure full availability of oil reserves </w:t>
      </w:r>
      <w:r w:rsidRPr="001454B0">
        <w:rPr>
          <w:rFonts w:ascii="Arial" w:hAnsi="Arial" w:cs="Arial"/>
          <w:sz w:val="22"/>
          <w:szCs w:val="22"/>
          <w:lang w:val="en-US"/>
        </w:rPr>
        <w:t>if</w:t>
      </w:r>
      <w:r w:rsidRPr="001454B0">
        <w:rPr>
          <w:rFonts w:ascii="Arial" w:hAnsi="Arial" w:cs="Arial"/>
          <w:sz w:val="22"/>
          <w:szCs w:val="22"/>
        </w:rPr>
        <w:t xml:space="preserve"> such a crisis occur. For this purpose, the EU member states should take appropriate measures for the unconditional protection of those reserves.</w:t>
      </w:r>
    </w:p>
    <w:p w14:paraId="58B916F1" w14:textId="77777777" w:rsidR="001454B0" w:rsidRPr="001454B0" w:rsidRDefault="001454B0" w:rsidP="001454B0">
      <w:pPr>
        <w:pStyle w:val="Default"/>
        <w:ind w:right="119" w:firstLine="720"/>
        <w:jc w:val="both"/>
        <w:rPr>
          <w:rFonts w:ascii="Arial" w:hAnsi="Arial" w:cs="Arial"/>
          <w:sz w:val="22"/>
          <w:szCs w:val="22"/>
          <w:lang w:val="en-US"/>
        </w:rPr>
      </w:pPr>
      <w:r w:rsidRPr="001454B0">
        <w:rPr>
          <w:rFonts w:ascii="Arial" w:hAnsi="Arial" w:cs="Arial"/>
          <w:sz w:val="22"/>
          <w:szCs w:val="22"/>
        </w:rPr>
        <w:t xml:space="preserve">When emergency reserves and special reserves are mixed with other reserves of economic operators, the amount of reserves intended for emergency situations should be transparently highlighted. </w:t>
      </w:r>
    </w:p>
    <w:p w14:paraId="4FB20F04" w14:textId="77777777" w:rsidR="001454B0" w:rsidRPr="001454B0" w:rsidRDefault="001454B0" w:rsidP="001454B0">
      <w:pPr>
        <w:pStyle w:val="Default"/>
        <w:ind w:right="119" w:firstLine="720"/>
        <w:jc w:val="both"/>
        <w:rPr>
          <w:rFonts w:ascii="Arial" w:hAnsi="Arial" w:cs="Arial"/>
          <w:sz w:val="22"/>
          <w:szCs w:val="22"/>
        </w:rPr>
      </w:pPr>
      <w:r w:rsidRPr="001454B0">
        <w:rPr>
          <w:rFonts w:ascii="Arial" w:hAnsi="Arial" w:cs="Arial"/>
          <w:sz w:val="22"/>
          <w:szCs w:val="22"/>
        </w:rPr>
        <w:t>Biofuels and certain additives are often mixed with petroleum products. When they are mixed with petroleum products, it should be possible to distinguish them when calculating petroleum reserves.</w:t>
      </w:r>
    </w:p>
    <w:p w14:paraId="7CF6E2C4" w14:textId="77777777" w:rsidR="001454B0" w:rsidRPr="001454B0" w:rsidRDefault="001454B0" w:rsidP="001454B0">
      <w:pPr>
        <w:pStyle w:val="Default"/>
        <w:ind w:right="119" w:firstLine="720"/>
        <w:jc w:val="both"/>
        <w:rPr>
          <w:rFonts w:ascii="Arial" w:hAnsi="Arial" w:cs="Arial"/>
          <w:sz w:val="22"/>
          <w:szCs w:val="22"/>
          <w:lang w:val="en-US"/>
        </w:rPr>
      </w:pPr>
      <w:r w:rsidRPr="001454B0">
        <w:rPr>
          <w:rFonts w:ascii="Arial" w:hAnsi="Arial" w:cs="Arial"/>
          <w:sz w:val="22"/>
          <w:szCs w:val="22"/>
        </w:rPr>
        <w:t>A key factor for an efficient response in cases of difficulties in the supply of petroleum products is the appropriate and timely execution of the decisions stipulated in the IEA Agreement. EU member states should put into circulation a part of their emergency reserves to the extent provided by the IEA Decision. The European Commission has close cooperation with the IEA and bases its activities according to the IEA methodology. The European Commission proposes the release of reserves from all member states. In response to an interruption in the uninterrupted supply of oil reserves, Member States are required to respond positively to the Commission's recommendations in the interest of solidarity and unity at Community level (between those Member States that are members of the IEA and those that are not members).</w:t>
      </w:r>
    </w:p>
    <w:p w14:paraId="26668300" w14:textId="77777777" w:rsidR="001454B0" w:rsidRPr="001454B0" w:rsidRDefault="001454B0" w:rsidP="001454B0">
      <w:pPr>
        <w:pStyle w:val="Default"/>
        <w:ind w:right="119" w:firstLine="720"/>
        <w:jc w:val="both"/>
        <w:rPr>
          <w:rFonts w:ascii="Arial" w:hAnsi="Arial" w:cs="Arial"/>
          <w:sz w:val="22"/>
          <w:szCs w:val="22"/>
        </w:rPr>
      </w:pPr>
      <w:r w:rsidRPr="001454B0">
        <w:rPr>
          <w:rFonts w:ascii="Arial" w:hAnsi="Arial" w:cs="Arial"/>
          <w:sz w:val="22"/>
          <w:szCs w:val="22"/>
        </w:rPr>
        <w:t>Council Directive 73/238/EEC of July 24, 1973 prescribes measures aimed at easing difficulties in the supply of crude oil and oil products. This directive aims to reduce the negative effects of any temporary or permanent difficulties, which result in a significant reduction in the supply of crude oil or petroleum products including serious disruption of the economic activity of the Community. The purpose of this directive is to maintain a high level of security in the supply of oil and petroleum products in the Community through reliable and transparent mechanisms based on solidarity among EU member states.</w:t>
      </w:r>
    </w:p>
    <w:p w14:paraId="7447BA13" w14:textId="77777777" w:rsidR="001454B0" w:rsidRPr="001454B0" w:rsidRDefault="001454B0" w:rsidP="001454B0">
      <w:pPr>
        <w:pStyle w:val="Default"/>
        <w:ind w:left="284" w:right="369"/>
        <w:jc w:val="center"/>
        <w:rPr>
          <w:rFonts w:ascii="Arial" w:hAnsi="Arial" w:cs="Arial"/>
          <w:sz w:val="22"/>
          <w:szCs w:val="22"/>
          <w:lang w:val="en-US"/>
        </w:rPr>
      </w:pPr>
      <w:r w:rsidRPr="001454B0">
        <w:rPr>
          <w:rFonts w:ascii="Arial" w:hAnsi="Arial" w:cs="Arial"/>
          <w:sz w:val="22"/>
          <w:szCs w:val="22"/>
        </w:rPr>
        <w:lastRenderedPageBreak/>
        <w:t xml:space="preserve">Table No. 1 Coverage with </w:t>
      </w:r>
      <w:r w:rsidRPr="001454B0">
        <w:rPr>
          <w:rFonts w:ascii="Arial" w:hAnsi="Arial" w:cs="Arial"/>
          <w:sz w:val="22"/>
          <w:szCs w:val="22"/>
          <w:lang w:val="en-US"/>
        </w:rPr>
        <w:t>compulsory</w:t>
      </w:r>
      <w:r w:rsidRPr="001454B0">
        <w:rPr>
          <w:rFonts w:ascii="Arial" w:hAnsi="Arial" w:cs="Arial"/>
          <w:sz w:val="22"/>
          <w:szCs w:val="22"/>
        </w:rPr>
        <w:t xml:space="preserve"> oil reserves expressed in days in EU member states and candidate countries, 31.12.2023</w:t>
      </w:r>
    </w:p>
    <w:tbl>
      <w:tblPr>
        <w:tblW w:w="6379" w:type="dxa"/>
        <w:tblInd w:w="274" w:type="dxa"/>
        <w:tblLook w:val="04A0" w:firstRow="1" w:lastRow="0" w:firstColumn="1" w:lastColumn="0" w:noHBand="0" w:noVBand="1"/>
      </w:tblPr>
      <w:tblGrid>
        <w:gridCol w:w="3260"/>
        <w:gridCol w:w="3119"/>
      </w:tblGrid>
      <w:tr w:rsidR="001454B0" w:rsidRPr="001454B0" w14:paraId="39FB5F0E" w14:textId="77777777" w:rsidTr="00D30366">
        <w:trPr>
          <w:trHeight w:val="315"/>
        </w:trPr>
        <w:tc>
          <w:tcPr>
            <w:tcW w:w="32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7EBA713F"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State</w:t>
            </w:r>
          </w:p>
        </w:tc>
        <w:tc>
          <w:tcPr>
            <w:tcW w:w="3119" w:type="dxa"/>
            <w:tcBorders>
              <w:top w:val="single" w:sz="8" w:space="0" w:color="auto"/>
              <w:left w:val="nil"/>
              <w:bottom w:val="single" w:sz="8" w:space="0" w:color="auto"/>
              <w:right w:val="single" w:sz="8" w:space="0" w:color="auto"/>
            </w:tcBorders>
            <w:shd w:val="clear" w:color="000000" w:fill="F2F2F2"/>
            <w:vAlign w:val="center"/>
            <w:hideMark/>
          </w:tcPr>
          <w:p w14:paraId="519771F3"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Coverage in days</w:t>
            </w:r>
          </w:p>
        </w:tc>
      </w:tr>
      <w:tr w:rsidR="001454B0" w:rsidRPr="001454B0" w14:paraId="78A186F9"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7B7A6583"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Belgium</w:t>
            </w:r>
          </w:p>
        </w:tc>
        <w:tc>
          <w:tcPr>
            <w:tcW w:w="3119" w:type="dxa"/>
            <w:tcBorders>
              <w:top w:val="nil"/>
              <w:left w:val="nil"/>
              <w:bottom w:val="single" w:sz="8" w:space="0" w:color="auto"/>
              <w:right w:val="single" w:sz="8" w:space="0" w:color="auto"/>
            </w:tcBorders>
            <w:shd w:val="clear" w:color="auto" w:fill="auto"/>
            <w:noWrap/>
            <w:vAlign w:val="center"/>
            <w:hideMark/>
          </w:tcPr>
          <w:p w14:paraId="21955318"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106</w:t>
            </w:r>
          </w:p>
        </w:tc>
      </w:tr>
      <w:tr w:rsidR="001454B0" w:rsidRPr="001454B0" w14:paraId="044200DA"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67C3F4B1"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Bulgaria</w:t>
            </w:r>
          </w:p>
        </w:tc>
        <w:tc>
          <w:tcPr>
            <w:tcW w:w="3119" w:type="dxa"/>
            <w:tcBorders>
              <w:top w:val="nil"/>
              <w:left w:val="nil"/>
              <w:bottom w:val="single" w:sz="8" w:space="0" w:color="auto"/>
              <w:right w:val="single" w:sz="8" w:space="0" w:color="auto"/>
            </w:tcBorders>
            <w:shd w:val="clear" w:color="auto" w:fill="auto"/>
            <w:noWrap/>
            <w:vAlign w:val="center"/>
            <w:hideMark/>
          </w:tcPr>
          <w:p w14:paraId="638F1C6A"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82</w:t>
            </w:r>
          </w:p>
        </w:tc>
      </w:tr>
      <w:tr w:rsidR="001454B0" w:rsidRPr="001454B0" w14:paraId="4CD1BFA5"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732765B6"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Czechia</w:t>
            </w:r>
          </w:p>
        </w:tc>
        <w:tc>
          <w:tcPr>
            <w:tcW w:w="3119" w:type="dxa"/>
            <w:tcBorders>
              <w:top w:val="nil"/>
              <w:left w:val="nil"/>
              <w:bottom w:val="single" w:sz="8" w:space="0" w:color="auto"/>
              <w:right w:val="single" w:sz="8" w:space="0" w:color="auto"/>
            </w:tcBorders>
            <w:shd w:val="clear" w:color="auto" w:fill="auto"/>
            <w:noWrap/>
            <w:vAlign w:val="center"/>
            <w:hideMark/>
          </w:tcPr>
          <w:p w14:paraId="4975F200"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92</w:t>
            </w:r>
          </w:p>
        </w:tc>
      </w:tr>
      <w:tr w:rsidR="001454B0" w:rsidRPr="001454B0" w14:paraId="7CC97B71"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25B1E806"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Denmark</w:t>
            </w:r>
          </w:p>
        </w:tc>
        <w:tc>
          <w:tcPr>
            <w:tcW w:w="3119" w:type="dxa"/>
            <w:tcBorders>
              <w:top w:val="nil"/>
              <w:left w:val="nil"/>
              <w:bottom w:val="single" w:sz="8" w:space="0" w:color="auto"/>
              <w:right w:val="single" w:sz="8" w:space="0" w:color="auto"/>
            </w:tcBorders>
            <w:shd w:val="clear" w:color="auto" w:fill="auto"/>
            <w:noWrap/>
            <w:vAlign w:val="center"/>
            <w:hideMark/>
          </w:tcPr>
          <w:p w14:paraId="351EE1CE"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72</w:t>
            </w:r>
          </w:p>
        </w:tc>
      </w:tr>
      <w:tr w:rsidR="001454B0" w:rsidRPr="001454B0" w14:paraId="4199AF77"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5891958F"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Germany</w:t>
            </w:r>
          </w:p>
        </w:tc>
        <w:tc>
          <w:tcPr>
            <w:tcW w:w="3119" w:type="dxa"/>
            <w:tcBorders>
              <w:top w:val="nil"/>
              <w:left w:val="nil"/>
              <w:bottom w:val="single" w:sz="8" w:space="0" w:color="auto"/>
              <w:right w:val="single" w:sz="8" w:space="0" w:color="auto"/>
            </w:tcBorders>
            <w:shd w:val="clear" w:color="auto" w:fill="auto"/>
            <w:noWrap/>
            <w:vAlign w:val="center"/>
            <w:hideMark/>
          </w:tcPr>
          <w:p w14:paraId="6423845C"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94</w:t>
            </w:r>
          </w:p>
        </w:tc>
      </w:tr>
      <w:tr w:rsidR="001454B0" w:rsidRPr="001454B0" w14:paraId="15DBB968"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3FED2D3D"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Estonia</w:t>
            </w:r>
          </w:p>
        </w:tc>
        <w:tc>
          <w:tcPr>
            <w:tcW w:w="3119" w:type="dxa"/>
            <w:tcBorders>
              <w:top w:val="nil"/>
              <w:left w:val="nil"/>
              <w:bottom w:val="single" w:sz="8" w:space="0" w:color="auto"/>
              <w:right w:val="single" w:sz="8" w:space="0" w:color="auto"/>
            </w:tcBorders>
            <w:shd w:val="clear" w:color="auto" w:fill="auto"/>
            <w:noWrap/>
            <w:vAlign w:val="center"/>
            <w:hideMark/>
          </w:tcPr>
          <w:p w14:paraId="08ED622B"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81</w:t>
            </w:r>
          </w:p>
        </w:tc>
      </w:tr>
      <w:tr w:rsidR="001454B0" w:rsidRPr="001454B0" w14:paraId="23B6AFAE"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29647D96"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Ireland</w:t>
            </w:r>
          </w:p>
        </w:tc>
        <w:tc>
          <w:tcPr>
            <w:tcW w:w="3119" w:type="dxa"/>
            <w:tcBorders>
              <w:top w:val="nil"/>
              <w:left w:val="nil"/>
              <w:bottom w:val="single" w:sz="8" w:space="0" w:color="auto"/>
              <w:right w:val="single" w:sz="8" w:space="0" w:color="auto"/>
            </w:tcBorders>
            <w:shd w:val="clear" w:color="auto" w:fill="auto"/>
            <w:noWrap/>
            <w:vAlign w:val="center"/>
            <w:hideMark/>
          </w:tcPr>
          <w:p w14:paraId="0F329CD1"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86</w:t>
            </w:r>
          </w:p>
        </w:tc>
      </w:tr>
      <w:tr w:rsidR="001454B0" w:rsidRPr="001454B0" w14:paraId="0360F5F4"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327E7111"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Greece</w:t>
            </w:r>
          </w:p>
        </w:tc>
        <w:tc>
          <w:tcPr>
            <w:tcW w:w="3119" w:type="dxa"/>
            <w:tcBorders>
              <w:top w:val="nil"/>
              <w:left w:val="nil"/>
              <w:bottom w:val="single" w:sz="8" w:space="0" w:color="auto"/>
              <w:right w:val="single" w:sz="8" w:space="0" w:color="auto"/>
            </w:tcBorders>
            <w:shd w:val="clear" w:color="auto" w:fill="auto"/>
            <w:noWrap/>
            <w:vAlign w:val="center"/>
            <w:hideMark/>
          </w:tcPr>
          <w:p w14:paraId="37C45E43"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97</w:t>
            </w:r>
          </w:p>
        </w:tc>
      </w:tr>
      <w:tr w:rsidR="001454B0" w:rsidRPr="001454B0" w14:paraId="4873C7C0" w14:textId="77777777" w:rsidTr="00D30366">
        <w:trPr>
          <w:cantSplit/>
          <w:trHeight w:val="315"/>
        </w:trPr>
        <w:tc>
          <w:tcPr>
            <w:tcW w:w="3260" w:type="dxa"/>
            <w:tcBorders>
              <w:top w:val="nil"/>
              <w:left w:val="single" w:sz="8" w:space="0" w:color="auto"/>
              <w:bottom w:val="single" w:sz="4" w:space="0" w:color="auto"/>
              <w:right w:val="single" w:sz="8" w:space="0" w:color="auto"/>
            </w:tcBorders>
            <w:shd w:val="clear" w:color="auto" w:fill="auto"/>
            <w:noWrap/>
            <w:vAlign w:val="center"/>
            <w:hideMark/>
          </w:tcPr>
          <w:p w14:paraId="39C83B4D"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Spain</w:t>
            </w:r>
          </w:p>
        </w:tc>
        <w:tc>
          <w:tcPr>
            <w:tcW w:w="3119" w:type="dxa"/>
            <w:tcBorders>
              <w:top w:val="nil"/>
              <w:left w:val="nil"/>
              <w:bottom w:val="single" w:sz="4" w:space="0" w:color="auto"/>
              <w:right w:val="single" w:sz="8" w:space="0" w:color="auto"/>
            </w:tcBorders>
            <w:shd w:val="clear" w:color="auto" w:fill="auto"/>
            <w:noWrap/>
            <w:vAlign w:val="center"/>
            <w:hideMark/>
          </w:tcPr>
          <w:p w14:paraId="5197D283"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91</w:t>
            </w:r>
          </w:p>
        </w:tc>
      </w:tr>
      <w:tr w:rsidR="001454B0" w:rsidRPr="001454B0" w14:paraId="7A95BD08" w14:textId="77777777" w:rsidTr="00D30366">
        <w:trPr>
          <w:cantSplit/>
          <w:trHeight w:val="315"/>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FAA0"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France</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598D9"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92</w:t>
            </w:r>
          </w:p>
        </w:tc>
      </w:tr>
      <w:tr w:rsidR="001454B0" w:rsidRPr="001454B0" w14:paraId="5F7D3E89" w14:textId="77777777" w:rsidTr="00D30366">
        <w:trPr>
          <w:cantSplit/>
          <w:trHeight w:val="315"/>
        </w:trPr>
        <w:tc>
          <w:tcPr>
            <w:tcW w:w="32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D81D404"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Croatia</w:t>
            </w:r>
          </w:p>
        </w:tc>
        <w:tc>
          <w:tcPr>
            <w:tcW w:w="3119" w:type="dxa"/>
            <w:tcBorders>
              <w:top w:val="single" w:sz="4" w:space="0" w:color="auto"/>
              <w:left w:val="nil"/>
              <w:bottom w:val="single" w:sz="4" w:space="0" w:color="auto"/>
              <w:right w:val="single" w:sz="8" w:space="0" w:color="auto"/>
            </w:tcBorders>
            <w:shd w:val="clear" w:color="auto" w:fill="auto"/>
            <w:noWrap/>
            <w:vAlign w:val="center"/>
            <w:hideMark/>
          </w:tcPr>
          <w:p w14:paraId="58AF7DE2"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92</w:t>
            </w:r>
          </w:p>
        </w:tc>
      </w:tr>
      <w:tr w:rsidR="001454B0" w:rsidRPr="001454B0" w14:paraId="7EBDE865" w14:textId="77777777" w:rsidTr="00D30366">
        <w:trPr>
          <w:cantSplit/>
          <w:trHeight w:val="315"/>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4FC23"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Italy</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B9E9"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90</w:t>
            </w:r>
          </w:p>
        </w:tc>
      </w:tr>
      <w:tr w:rsidR="001454B0" w:rsidRPr="001454B0" w14:paraId="3C0E4C88" w14:textId="77777777" w:rsidTr="00D30366">
        <w:trPr>
          <w:cantSplit/>
          <w:trHeight w:val="315"/>
        </w:trPr>
        <w:tc>
          <w:tcPr>
            <w:tcW w:w="32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6897934"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Cyprus</w:t>
            </w:r>
          </w:p>
        </w:tc>
        <w:tc>
          <w:tcPr>
            <w:tcW w:w="3119" w:type="dxa"/>
            <w:tcBorders>
              <w:top w:val="single" w:sz="4" w:space="0" w:color="auto"/>
              <w:left w:val="nil"/>
              <w:bottom w:val="single" w:sz="8" w:space="0" w:color="auto"/>
              <w:right w:val="single" w:sz="8" w:space="0" w:color="auto"/>
            </w:tcBorders>
            <w:shd w:val="clear" w:color="auto" w:fill="auto"/>
            <w:noWrap/>
            <w:vAlign w:val="center"/>
            <w:hideMark/>
          </w:tcPr>
          <w:p w14:paraId="72FBAC4F"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91</w:t>
            </w:r>
          </w:p>
        </w:tc>
      </w:tr>
      <w:tr w:rsidR="001454B0" w:rsidRPr="001454B0" w14:paraId="1FD484A9"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0B9AE4BC"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Latvia</w:t>
            </w:r>
          </w:p>
        </w:tc>
        <w:tc>
          <w:tcPr>
            <w:tcW w:w="3119" w:type="dxa"/>
            <w:tcBorders>
              <w:top w:val="nil"/>
              <w:left w:val="nil"/>
              <w:bottom w:val="single" w:sz="8" w:space="0" w:color="auto"/>
              <w:right w:val="single" w:sz="8" w:space="0" w:color="auto"/>
            </w:tcBorders>
            <w:shd w:val="clear" w:color="auto" w:fill="auto"/>
            <w:noWrap/>
            <w:vAlign w:val="center"/>
            <w:hideMark/>
          </w:tcPr>
          <w:p w14:paraId="5045C647"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80</w:t>
            </w:r>
          </w:p>
        </w:tc>
      </w:tr>
      <w:tr w:rsidR="001454B0" w:rsidRPr="001454B0" w14:paraId="0580897E"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36F20C54"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Lithuania</w:t>
            </w:r>
          </w:p>
        </w:tc>
        <w:tc>
          <w:tcPr>
            <w:tcW w:w="3119" w:type="dxa"/>
            <w:tcBorders>
              <w:top w:val="nil"/>
              <w:left w:val="nil"/>
              <w:bottom w:val="single" w:sz="8" w:space="0" w:color="auto"/>
              <w:right w:val="single" w:sz="8" w:space="0" w:color="auto"/>
            </w:tcBorders>
            <w:shd w:val="clear" w:color="auto" w:fill="auto"/>
            <w:noWrap/>
            <w:vAlign w:val="center"/>
            <w:hideMark/>
          </w:tcPr>
          <w:p w14:paraId="7ECFD08C"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93</w:t>
            </w:r>
          </w:p>
        </w:tc>
      </w:tr>
      <w:tr w:rsidR="001454B0" w:rsidRPr="001454B0" w14:paraId="53CEB26F"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2F27595A"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Luxembourg</w:t>
            </w:r>
          </w:p>
        </w:tc>
        <w:tc>
          <w:tcPr>
            <w:tcW w:w="3119" w:type="dxa"/>
            <w:tcBorders>
              <w:top w:val="nil"/>
              <w:left w:val="nil"/>
              <w:bottom w:val="single" w:sz="8" w:space="0" w:color="auto"/>
              <w:right w:val="single" w:sz="8" w:space="0" w:color="auto"/>
            </w:tcBorders>
            <w:shd w:val="clear" w:color="auto" w:fill="auto"/>
            <w:noWrap/>
            <w:vAlign w:val="center"/>
            <w:hideMark/>
          </w:tcPr>
          <w:p w14:paraId="139B9C7A"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93</w:t>
            </w:r>
          </w:p>
        </w:tc>
      </w:tr>
      <w:tr w:rsidR="001454B0" w:rsidRPr="001454B0" w14:paraId="1DC65F61"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3BA03C6B"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Hungary</w:t>
            </w:r>
          </w:p>
        </w:tc>
        <w:tc>
          <w:tcPr>
            <w:tcW w:w="3119" w:type="dxa"/>
            <w:tcBorders>
              <w:top w:val="nil"/>
              <w:left w:val="nil"/>
              <w:bottom w:val="single" w:sz="8" w:space="0" w:color="auto"/>
              <w:right w:val="single" w:sz="8" w:space="0" w:color="auto"/>
            </w:tcBorders>
            <w:shd w:val="clear" w:color="auto" w:fill="auto"/>
            <w:noWrap/>
            <w:vAlign w:val="center"/>
            <w:hideMark/>
          </w:tcPr>
          <w:p w14:paraId="0D3AA486"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90</w:t>
            </w:r>
          </w:p>
        </w:tc>
      </w:tr>
      <w:tr w:rsidR="001454B0" w:rsidRPr="001454B0" w14:paraId="45D5C11A"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5E45D6A4"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Malta</w:t>
            </w:r>
          </w:p>
        </w:tc>
        <w:tc>
          <w:tcPr>
            <w:tcW w:w="3119" w:type="dxa"/>
            <w:tcBorders>
              <w:top w:val="nil"/>
              <w:left w:val="nil"/>
              <w:bottom w:val="single" w:sz="8" w:space="0" w:color="auto"/>
              <w:right w:val="single" w:sz="8" w:space="0" w:color="auto"/>
            </w:tcBorders>
            <w:shd w:val="clear" w:color="auto" w:fill="auto"/>
            <w:noWrap/>
            <w:vAlign w:val="center"/>
            <w:hideMark/>
          </w:tcPr>
          <w:p w14:paraId="38483994"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87</w:t>
            </w:r>
          </w:p>
        </w:tc>
      </w:tr>
      <w:tr w:rsidR="001454B0" w:rsidRPr="001454B0" w14:paraId="2C56CECC"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345DD039"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Netherlands</w:t>
            </w:r>
          </w:p>
        </w:tc>
        <w:tc>
          <w:tcPr>
            <w:tcW w:w="3119" w:type="dxa"/>
            <w:tcBorders>
              <w:top w:val="nil"/>
              <w:left w:val="nil"/>
              <w:bottom w:val="single" w:sz="8" w:space="0" w:color="auto"/>
              <w:right w:val="single" w:sz="8" w:space="0" w:color="auto"/>
            </w:tcBorders>
            <w:shd w:val="clear" w:color="auto" w:fill="auto"/>
            <w:noWrap/>
            <w:vAlign w:val="center"/>
            <w:hideMark/>
          </w:tcPr>
          <w:p w14:paraId="0E09E304"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113</w:t>
            </w:r>
          </w:p>
        </w:tc>
      </w:tr>
      <w:tr w:rsidR="001454B0" w:rsidRPr="001454B0" w14:paraId="00546CA7"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19482062"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Austria</w:t>
            </w:r>
          </w:p>
        </w:tc>
        <w:tc>
          <w:tcPr>
            <w:tcW w:w="3119" w:type="dxa"/>
            <w:tcBorders>
              <w:top w:val="nil"/>
              <w:left w:val="nil"/>
              <w:bottom w:val="single" w:sz="8" w:space="0" w:color="auto"/>
              <w:right w:val="single" w:sz="8" w:space="0" w:color="auto"/>
            </w:tcBorders>
            <w:shd w:val="clear" w:color="auto" w:fill="auto"/>
            <w:noWrap/>
            <w:vAlign w:val="center"/>
            <w:hideMark/>
          </w:tcPr>
          <w:p w14:paraId="7F0F12E2"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91</w:t>
            </w:r>
          </w:p>
        </w:tc>
      </w:tr>
      <w:tr w:rsidR="001454B0" w:rsidRPr="001454B0" w14:paraId="172AD92A"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41D90295"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Poland</w:t>
            </w:r>
          </w:p>
        </w:tc>
        <w:tc>
          <w:tcPr>
            <w:tcW w:w="3119" w:type="dxa"/>
            <w:tcBorders>
              <w:top w:val="nil"/>
              <w:left w:val="nil"/>
              <w:bottom w:val="single" w:sz="8" w:space="0" w:color="auto"/>
              <w:right w:val="single" w:sz="8" w:space="0" w:color="auto"/>
            </w:tcBorders>
            <w:shd w:val="clear" w:color="auto" w:fill="auto"/>
            <w:noWrap/>
            <w:vAlign w:val="center"/>
            <w:hideMark/>
          </w:tcPr>
          <w:p w14:paraId="3D44E5A6"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100</w:t>
            </w:r>
          </w:p>
        </w:tc>
      </w:tr>
      <w:tr w:rsidR="001454B0" w:rsidRPr="001454B0" w14:paraId="45AC8AA9"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61D9DB26"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Portugal</w:t>
            </w:r>
          </w:p>
        </w:tc>
        <w:tc>
          <w:tcPr>
            <w:tcW w:w="3119" w:type="dxa"/>
            <w:tcBorders>
              <w:top w:val="nil"/>
              <w:left w:val="nil"/>
              <w:bottom w:val="single" w:sz="8" w:space="0" w:color="auto"/>
              <w:right w:val="single" w:sz="8" w:space="0" w:color="auto"/>
            </w:tcBorders>
            <w:shd w:val="clear" w:color="auto" w:fill="auto"/>
            <w:noWrap/>
            <w:vAlign w:val="center"/>
            <w:hideMark/>
          </w:tcPr>
          <w:p w14:paraId="7DB93829"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90</w:t>
            </w:r>
          </w:p>
        </w:tc>
      </w:tr>
      <w:tr w:rsidR="001454B0" w:rsidRPr="001454B0" w14:paraId="10D6E9CB"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0750425A"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Romania</w:t>
            </w:r>
          </w:p>
        </w:tc>
        <w:tc>
          <w:tcPr>
            <w:tcW w:w="3119" w:type="dxa"/>
            <w:tcBorders>
              <w:top w:val="nil"/>
              <w:left w:val="nil"/>
              <w:bottom w:val="single" w:sz="8" w:space="0" w:color="auto"/>
              <w:right w:val="single" w:sz="8" w:space="0" w:color="auto"/>
            </w:tcBorders>
            <w:shd w:val="clear" w:color="auto" w:fill="auto"/>
            <w:noWrap/>
            <w:vAlign w:val="center"/>
            <w:hideMark/>
          </w:tcPr>
          <w:p w14:paraId="2D0E18B7"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95</w:t>
            </w:r>
          </w:p>
        </w:tc>
      </w:tr>
      <w:tr w:rsidR="001454B0" w:rsidRPr="001454B0" w14:paraId="0EF86BA6"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1FD3C4E6"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Slovenia</w:t>
            </w:r>
          </w:p>
        </w:tc>
        <w:tc>
          <w:tcPr>
            <w:tcW w:w="3119" w:type="dxa"/>
            <w:tcBorders>
              <w:top w:val="nil"/>
              <w:left w:val="nil"/>
              <w:bottom w:val="single" w:sz="8" w:space="0" w:color="auto"/>
              <w:right w:val="single" w:sz="8" w:space="0" w:color="auto"/>
            </w:tcBorders>
            <w:shd w:val="clear" w:color="auto" w:fill="auto"/>
            <w:noWrap/>
            <w:vAlign w:val="center"/>
            <w:hideMark/>
          </w:tcPr>
          <w:p w14:paraId="1A356F38"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95</w:t>
            </w:r>
          </w:p>
        </w:tc>
      </w:tr>
      <w:tr w:rsidR="001454B0" w:rsidRPr="001454B0" w14:paraId="3BD8D3EF"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6B466A89"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Slovakia</w:t>
            </w:r>
          </w:p>
        </w:tc>
        <w:tc>
          <w:tcPr>
            <w:tcW w:w="3119" w:type="dxa"/>
            <w:tcBorders>
              <w:top w:val="nil"/>
              <w:left w:val="nil"/>
              <w:bottom w:val="single" w:sz="8" w:space="0" w:color="auto"/>
              <w:right w:val="single" w:sz="8" w:space="0" w:color="auto"/>
            </w:tcBorders>
            <w:shd w:val="clear" w:color="auto" w:fill="auto"/>
            <w:noWrap/>
            <w:vAlign w:val="center"/>
            <w:hideMark/>
          </w:tcPr>
          <w:p w14:paraId="0772028F"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97</w:t>
            </w:r>
          </w:p>
        </w:tc>
      </w:tr>
      <w:tr w:rsidR="001454B0" w:rsidRPr="001454B0" w14:paraId="19DE5874"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08474335"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Finland</w:t>
            </w:r>
          </w:p>
        </w:tc>
        <w:tc>
          <w:tcPr>
            <w:tcW w:w="3119" w:type="dxa"/>
            <w:tcBorders>
              <w:top w:val="nil"/>
              <w:left w:val="nil"/>
              <w:bottom w:val="single" w:sz="8" w:space="0" w:color="auto"/>
              <w:right w:val="single" w:sz="8" w:space="0" w:color="auto"/>
            </w:tcBorders>
            <w:shd w:val="clear" w:color="auto" w:fill="auto"/>
            <w:noWrap/>
            <w:vAlign w:val="center"/>
            <w:hideMark/>
          </w:tcPr>
          <w:p w14:paraId="30E9F164"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184</w:t>
            </w:r>
          </w:p>
        </w:tc>
      </w:tr>
      <w:tr w:rsidR="001454B0" w:rsidRPr="001454B0" w14:paraId="7DCEF671"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01F42CCA"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Sweden</w:t>
            </w:r>
          </w:p>
        </w:tc>
        <w:tc>
          <w:tcPr>
            <w:tcW w:w="3119" w:type="dxa"/>
            <w:tcBorders>
              <w:top w:val="nil"/>
              <w:left w:val="nil"/>
              <w:bottom w:val="single" w:sz="8" w:space="0" w:color="auto"/>
              <w:right w:val="single" w:sz="8" w:space="0" w:color="auto"/>
            </w:tcBorders>
            <w:shd w:val="clear" w:color="auto" w:fill="auto"/>
            <w:noWrap/>
            <w:vAlign w:val="center"/>
            <w:hideMark/>
          </w:tcPr>
          <w:p w14:paraId="0F670246"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112</w:t>
            </w:r>
          </w:p>
        </w:tc>
      </w:tr>
      <w:tr w:rsidR="001454B0" w:rsidRPr="001454B0" w14:paraId="2A512DAA"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07D15B0B"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Macedonia</w:t>
            </w:r>
          </w:p>
        </w:tc>
        <w:tc>
          <w:tcPr>
            <w:tcW w:w="3119" w:type="dxa"/>
            <w:tcBorders>
              <w:top w:val="nil"/>
              <w:left w:val="nil"/>
              <w:bottom w:val="single" w:sz="8" w:space="0" w:color="auto"/>
              <w:right w:val="single" w:sz="8" w:space="0" w:color="auto"/>
            </w:tcBorders>
            <w:shd w:val="clear" w:color="auto" w:fill="auto"/>
            <w:noWrap/>
            <w:vAlign w:val="center"/>
            <w:hideMark/>
          </w:tcPr>
          <w:p w14:paraId="059E7091"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51</w:t>
            </w:r>
          </w:p>
        </w:tc>
      </w:tr>
      <w:tr w:rsidR="001454B0" w:rsidRPr="001454B0" w14:paraId="622B2455"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07519513"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Albania</w:t>
            </w:r>
          </w:p>
        </w:tc>
        <w:tc>
          <w:tcPr>
            <w:tcW w:w="3119" w:type="dxa"/>
            <w:tcBorders>
              <w:top w:val="nil"/>
              <w:left w:val="nil"/>
              <w:bottom w:val="single" w:sz="8" w:space="0" w:color="auto"/>
              <w:right w:val="single" w:sz="8" w:space="0" w:color="auto"/>
            </w:tcBorders>
            <w:shd w:val="clear" w:color="auto" w:fill="auto"/>
            <w:noWrap/>
            <w:vAlign w:val="center"/>
            <w:hideMark/>
          </w:tcPr>
          <w:p w14:paraId="5FD0A3DC"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0</w:t>
            </w:r>
          </w:p>
        </w:tc>
      </w:tr>
      <w:tr w:rsidR="001454B0" w:rsidRPr="001454B0" w14:paraId="7A490A06"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2C1DC2EC"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Serbia</w:t>
            </w:r>
          </w:p>
        </w:tc>
        <w:tc>
          <w:tcPr>
            <w:tcW w:w="3119" w:type="dxa"/>
            <w:tcBorders>
              <w:top w:val="nil"/>
              <w:left w:val="nil"/>
              <w:bottom w:val="single" w:sz="8" w:space="0" w:color="auto"/>
              <w:right w:val="single" w:sz="8" w:space="0" w:color="auto"/>
            </w:tcBorders>
            <w:shd w:val="clear" w:color="auto" w:fill="auto"/>
            <w:noWrap/>
            <w:vAlign w:val="center"/>
            <w:hideMark/>
          </w:tcPr>
          <w:p w14:paraId="0CCB9CBF"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42</w:t>
            </w:r>
          </w:p>
        </w:tc>
      </w:tr>
      <w:tr w:rsidR="001454B0" w:rsidRPr="001454B0" w14:paraId="184B6C01" w14:textId="77777777" w:rsidTr="00D30366">
        <w:trPr>
          <w:cantSplit/>
          <w:trHeight w:val="315"/>
        </w:trPr>
        <w:tc>
          <w:tcPr>
            <w:tcW w:w="3260" w:type="dxa"/>
            <w:tcBorders>
              <w:top w:val="nil"/>
              <w:left w:val="single" w:sz="8" w:space="0" w:color="auto"/>
              <w:bottom w:val="single" w:sz="8" w:space="0" w:color="auto"/>
              <w:right w:val="single" w:sz="8" w:space="0" w:color="auto"/>
            </w:tcBorders>
            <w:shd w:val="clear" w:color="auto" w:fill="auto"/>
            <w:noWrap/>
            <w:vAlign w:val="center"/>
            <w:hideMark/>
          </w:tcPr>
          <w:p w14:paraId="5F1282B0"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Türkiye</w:t>
            </w:r>
          </w:p>
        </w:tc>
        <w:tc>
          <w:tcPr>
            <w:tcW w:w="3119" w:type="dxa"/>
            <w:tcBorders>
              <w:top w:val="nil"/>
              <w:left w:val="nil"/>
              <w:bottom w:val="single" w:sz="8" w:space="0" w:color="auto"/>
              <w:right w:val="single" w:sz="8" w:space="0" w:color="auto"/>
            </w:tcBorders>
            <w:shd w:val="clear" w:color="auto" w:fill="auto"/>
            <w:noWrap/>
            <w:vAlign w:val="center"/>
            <w:hideMark/>
          </w:tcPr>
          <w:p w14:paraId="642C732D"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0</w:t>
            </w:r>
          </w:p>
        </w:tc>
      </w:tr>
    </w:tbl>
    <w:p w14:paraId="207B0FFF" w14:textId="77777777" w:rsidR="001454B0" w:rsidRPr="001454B0" w:rsidRDefault="001454B0" w:rsidP="001454B0">
      <w:pPr>
        <w:pStyle w:val="Default"/>
        <w:ind w:right="369"/>
        <w:rPr>
          <w:rFonts w:ascii="Arial" w:hAnsi="Arial" w:cs="Arial"/>
          <w:i/>
          <w:sz w:val="22"/>
          <w:szCs w:val="22"/>
        </w:rPr>
      </w:pPr>
      <w:r w:rsidRPr="001454B0">
        <w:rPr>
          <w:rFonts w:ascii="Arial" w:hAnsi="Arial" w:cs="Arial"/>
          <w:sz w:val="22"/>
          <w:szCs w:val="22"/>
          <w:lang w:val="en-US"/>
        </w:rPr>
        <w:t xml:space="preserve">     </w:t>
      </w:r>
      <w:r w:rsidRPr="001454B0">
        <w:rPr>
          <w:rFonts w:ascii="Arial" w:hAnsi="Arial" w:cs="Arial"/>
          <w:i/>
          <w:sz w:val="22"/>
          <w:szCs w:val="22"/>
        </w:rPr>
        <w:t xml:space="preserve"> </w:t>
      </w:r>
      <w:r w:rsidRPr="001454B0">
        <w:rPr>
          <w:rFonts w:ascii="Arial" w:hAnsi="Arial" w:cs="Arial"/>
          <w:i/>
          <w:sz w:val="22"/>
          <w:szCs w:val="22"/>
          <w:lang w:val="en-US"/>
        </w:rPr>
        <w:t>Source</w:t>
      </w:r>
      <w:r w:rsidRPr="001454B0">
        <w:rPr>
          <w:rFonts w:ascii="Arial" w:hAnsi="Arial" w:cs="Arial"/>
          <w:i/>
          <w:sz w:val="22"/>
          <w:szCs w:val="22"/>
        </w:rPr>
        <w:t xml:space="preserve">: </w:t>
      </w:r>
      <w:r w:rsidRPr="001454B0">
        <w:rPr>
          <w:rFonts w:ascii="Arial" w:hAnsi="Arial" w:cs="Arial"/>
          <w:i/>
          <w:sz w:val="22"/>
          <w:szCs w:val="22"/>
          <w:lang w:val="en-US"/>
        </w:rPr>
        <w:t>Eurostat</w:t>
      </w:r>
      <w:r w:rsidRPr="001454B0">
        <w:rPr>
          <w:rFonts w:ascii="Arial" w:hAnsi="Arial" w:cs="Arial"/>
          <w:i/>
          <w:sz w:val="22"/>
          <w:szCs w:val="22"/>
        </w:rPr>
        <w:t xml:space="preserve">  (https://ec.europa.eu/eurostat/databrowse</w:t>
      </w:r>
      <w:r w:rsidRPr="001454B0">
        <w:rPr>
          <w:rFonts w:ascii="Arial" w:hAnsi="Arial" w:cs="Arial"/>
          <w:i/>
          <w:sz w:val="22"/>
          <w:szCs w:val="22"/>
          <w:lang w:val="en-US"/>
        </w:rPr>
        <w:t>r</w:t>
      </w:r>
      <w:r w:rsidRPr="001454B0">
        <w:rPr>
          <w:rFonts w:ascii="Arial" w:hAnsi="Arial" w:cs="Arial"/>
          <w:i/>
          <w:sz w:val="22"/>
          <w:szCs w:val="22"/>
        </w:rPr>
        <w:t>)</w:t>
      </w:r>
    </w:p>
    <w:p w14:paraId="2C2174DE" w14:textId="77777777" w:rsidR="001454B0" w:rsidRPr="001454B0" w:rsidRDefault="001454B0" w:rsidP="001454B0">
      <w:pPr>
        <w:pStyle w:val="Default"/>
        <w:ind w:left="284" w:right="369"/>
        <w:rPr>
          <w:rFonts w:ascii="Arial" w:hAnsi="Arial" w:cs="Arial"/>
          <w:sz w:val="22"/>
          <w:szCs w:val="22"/>
          <w:lang w:val="en-US"/>
        </w:rPr>
      </w:pPr>
    </w:p>
    <w:p w14:paraId="1A8D2A37" w14:textId="77777777" w:rsidR="001454B0" w:rsidRPr="001454B0" w:rsidRDefault="001454B0" w:rsidP="001454B0">
      <w:pPr>
        <w:pStyle w:val="Default"/>
        <w:ind w:left="284" w:right="369"/>
        <w:rPr>
          <w:rFonts w:ascii="Arial" w:hAnsi="Arial" w:cs="Arial"/>
          <w:sz w:val="22"/>
          <w:szCs w:val="22"/>
          <w:lang w:val="en-US"/>
        </w:rPr>
      </w:pPr>
    </w:p>
    <w:p w14:paraId="349930FC" w14:textId="77777777" w:rsidR="001454B0" w:rsidRPr="001454B0" w:rsidRDefault="001454B0" w:rsidP="001454B0">
      <w:pPr>
        <w:pStyle w:val="Default"/>
        <w:ind w:left="284" w:right="369"/>
        <w:rPr>
          <w:rFonts w:ascii="Arial" w:hAnsi="Arial" w:cs="Arial"/>
          <w:sz w:val="22"/>
          <w:szCs w:val="22"/>
          <w:lang w:val="en-US"/>
        </w:rPr>
      </w:pPr>
    </w:p>
    <w:p w14:paraId="73F90571" w14:textId="77777777" w:rsidR="001454B0" w:rsidRPr="001454B0" w:rsidRDefault="001454B0" w:rsidP="001454B0">
      <w:pPr>
        <w:pStyle w:val="Default"/>
        <w:ind w:left="284" w:right="369"/>
        <w:rPr>
          <w:rFonts w:ascii="Arial" w:hAnsi="Arial" w:cs="Arial"/>
          <w:sz w:val="22"/>
          <w:szCs w:val="22"/>
          <w:lang w:val="en-US"/>
        </w:rPr>
      </w:pPr>
    </w:p>
    <w:p w14:paraId="3352AE59" w14:textId="77777777" w:rsidR="001454B0" w:rsidRPr="001454B0" w:rsidRDefault="001454B0" w:rsidP="001454B0">
      <w:pPr>
        <w:pStyle w:val="Default"/>
        <w:ind w:left="284" w:right="369"/>
        <w:rPr>
          <w:rFonts w:ascii="Arial" w:hAnsi="Arial" w:cs="Arial"/>
          <w:sz w:val="22"/>
          <w:szCs w:val="22"/>
          <w:lang w:val="en-US"/>
        </w:rPr>
      </w:pPr>
    </w:p>
    <w:p w14:paraId="6BEEFA03" w14:textId="77777777" w:rsidR="001454B0" w:rsidRPr="001454B0" w:rsidRDefault="001454B0" w:rsidP="001454B0">
      <w:pPr>
        <w:pStyle w:val="Default"/>
        <w:ind w:left="284" w:right="369"/>
        <w:rPr>
          <w:rFonts w:ascii="Arial" w:hAnsi="Arial" w:cs="Arial"/>
          <w:sz w:val="22"/>
          <w:szCs w:val="22"/>
          <w:lang w:val="en-US"/>
        </w:rPr>
      </w:pPr>
      <w:r w:rsidRPr="001454B0">
        <w:rPr>
          <w:rFonts w:ascii="Arial" w:hAnsi="Arial" w:cs="Arial"/>
          <w:sz w:val="22"/>
          <w:szCs w:val="22"/>
        </w:rPr>
        <w:lastRenderedPageBreak/>
        <w:t xml:space="preserve">Chart No. 1 Coverage with </w:t>
      </w:r>
      <w:r w:rsidRPr="001454B0">
        <w:rPr>
          <w:rFonts w:ascii="Arial" w:hAnsi="Arial" w:cs="Arial"/>
          <w:sz w:val="22"/>
          <w:szCs w:val="22"/>
          <w:lang w:val="en-US"/>
        </w:rPr>
        <w:t>compulsory</w:t>
      </w:r>
      <w:r w:rsidRPr="001454B0">
        <w:rPr>
          <w:rFonts w:ascii="Arial" w:hAnsi="Arial" w:cs="Arial"/>
          <w:sz w:val="22"/>
          <w:szCs w:val="22"/>
        </w:rPr>
        <w:t xml:space="preserve"> oil reserves in days in EU member states and candidates, </w:t>
      </w:r>
      <w:r w:rsidRPr="001454B0">
        <w:rPr>
          <w:rFonts w:ascii="Arial" w:hAnsi="Arial" w:cs="Arial"/>
          <w:sz w:val="22"/>
          <w:szCs w:val="22"/>
          <w:lang w:val="en-US"/>
        </w:rPr>
        <w:t>31.12.</w:t>
      </w:r>
      <w:r w:rsidRPr="001454B0">
        <w:rPr>
          <w:rFonts w:ascii="Arial" w:hAnsi="Arial" w:cs="Arial"/>
          <w:sz w:val="22"/>
          <w:szCs w:val="22"/>
        </w:rPr>
        <w:t>2023</w:t>
      </w:r>
    </w:p>
    <w:p w14:paraId="49FA3136" w14:textId="77777777" w:rsidR="001454B0" w:rsidRPr="001454B0" w:rsidRDefault="001454B0" w:rsidP="001454B0">
      <w:pPr>
        <w:pStyle w:val="Default"/>
        <w:ind w:left="284" w:right="369"/>
        <w:rPr>
          <w:rFonts w:ascii="Arial" w:hAnsi="Arial" w:cs="Arial"/>
          <w:sz w:val="22"/>
          <w:szCs w:val="22"/>
          <w:lang w:val="en-US"/>
        </w:rPr>
      </w:pPr>
    </w:p>
    <w:p w14:paraId="1E3EC2A8" w14:textId="77777777" w:rsidR="001454B0" w:rsidRPr="001454B0" w:rsidRDefault="001454B0" w:rsidP="001454B0">
      <w:pPr>
        <w:jc w:val="center"/>
        <w:rPr>
          <w:rFonts w:ascii="Arial" w:hAnsi="Arial" w:cs="Arial"/>
          <w:b/>
          <w:highlight w:val="yellow"/>
        </w:rPr>
      </w:pPr>
      <w:r w:rsidRPr="001454B0">
        <w:rPr>
          <w:rFonts w:ascii="Arial" w:hAnsi="Arial" w:cs="Arial"/>
          <w:noProof/>
        </w:rPr>
        <w:drawing>
          <wp:inline distT="0" distB="0" distL="0" distR="0" wp14:anchorId="0B6EC991" wp14:editId="34377999">
            <wp:extent cx="4959927" cy="4398472"/>
            <wp:effectExtent l="0" t="0" r="1270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BE58EE" w14:textId="77777777" w:rsidR="001454B0" w:rsidRPr="001454B0" w:rsidRDefault="001454B0" w:rsidP="001454B0">
      <w:pPr>
        <w:pStyle w:val="Default"/>
        <w:ind w:right="369"/>
        <w:rPr>
          <w:rFonts w:ascii="Arial" w:hAnsi="Arial" w:cs="Arial"/>
          <w:i/>
          <w:sz w:val="22"/>
          <w:szCs w:val="22"/>
        </w:rPr>
      </w:pPr>
      <w:r w:rsidRPr="001454B0">
        <w:rPr>
          <w:rFonts w:ascii="Arial" w:hAnsi="Arial" w:cs="Arial"/>
          <w:i/>
          <w:sz w:val="22"/>
          <w:szCs w:val="22"/>
        </w:rPr>
        <w:t xml:space="preserve">              </w:t>
      </w:r>
      <w:r w:rsidRPr="001454B0">
        <w:rPr>
          <w:rFonts w:ascii="Arial" w:hAnsi="Arial" w:cs="Arial"/>
          <w:i/>
          <w:sz w:val="22"/>
          <w:szCs w:val="22"/>
          <w:lang w:val="en-US"/>
        </w:rPr>
        <w:t>Source</w:t>
      </w:r>
      <w:r w:rsidRPr="001454B0">
        <w:rPr>
          <w:rFonts w:ascii="Arial" w:hAnsi="Arial" w:cs="Arial"/>
          <w:i/>
          <w:sz w:val="22"/>
          <w:szCs w:val="22"/>
        </w:rPr>
        <w:t xml:space="preserve">: </w:t>
      </w:r>
      <w:r w:rsidRPr="001454B0">
        <w:rPr>
          <w:rFonts w:ascii="Arial" w:hAnsi="Arial" w:cs="Arial"/>
          <w:i/>
          <w:sz w:val="22"/>
          <w:szCs w:val="22"/>
          <w:lang w:val="en-US"/>
        </w:rPr>
        <w:t>Eurostat</w:t>
      </w:r>
      <w:r w:rsidRPr="001454B0">
        <w:rPr>
          <w:rFonts w:ascii="Arial" w:hAnsi="Arial" w:cs="Arial"/>
          <w:i/>
          <w:sz w:val="22"/>
          <w:szCs w:val="22"/>
        </w:rPr>
        <w:t xml:space="preserve">  (https://ec.europa.eu/eurostat/databrowse</w:t>
      </w:r>
      <w:r w:rsidRPr="001454B0">
        <w:rPr>
          <w:rFonts w:ascii="Arial" w:hAnsi="Arial" w:cs="Arial"/>
          <w:i/>
          <w:sz w:val="22"/>
          <w:szCs w:val="22"/>
          <w:lang w:val="en-US"/>
        </w:rPr>
        <w:t>r</w:t>
      </w:r>
      <w:r w:rsidRPr="001454B0">
        <w:rPr>
          <w:rFonts w:ascii="Arial" w:hAnsi="Arial" w:cs="Arial"/>
          <w:i/>
          <w:sz w:val="22"/>
          <w:szCs w:val="22"/>
        </w:rPr>
        <w:t>)</w:t>
      </w:r>
    </w:p>
    <w:p w14:paraId="6966A19D" w14:textId="77777777" w:rsidR="001454B0" w:rsidRPr="001454B0" w:rsidRDefault="001454B0" w:rsidP="001454B0">
      <w:pPr>
        <w:pStyle w:val="Default"/>
        <w:ind w:right="369"/>
        <w:jc w:val="both"/>
        <w:rPr>
          <w:rFonts w:ascii="Arial" w:hAnsi="Arial" w:cs="Arial"/>
          <w:sz w:val="22"/>
          <w:szCs w:val="22"/>
        </w:rPr>
      </w:pPr>
    </w:p>
    <w:p w14:paraId="2152E73E" w14:textId="77777777" w:rsidR="001454B0" w:rsidRPr="001454B0" w:rsidRDefault="001454B0" w:rsidP="001454B0">
      <w:pPr>
        <w:pStyle w:val="Default"/>
        <w:ind w:right="369"/>
        <w:jc w:val="both"/>
        <w:rPr>
          <w:rFonts w:ascii="Arial" w:hAnsi="Arial" w:cs="Arial"/>
          <w:sz w:val="22"/>
          <w:szCs w:val="22"/>
          <w:lang w:val="en-US"/>
        </w:rPr>
      </w:pPr>
    </w:p>
    <w:p w14:paraId="047DFBE3" w14:textId="77777777" w:rsidR="001454B0" w:rsidRPr="001454B0" w:rsidRDefault="001454B0" w:rsidP="001454B0">
      <w:pPr>
        <w:pStyle w:val="Default"/>
        <w:ind w:right="369"/>
        <w:jc w:val="both"/>
        <w:rPr>
          <w:rFonts w:ascii="Arial" w:hAnsi="Arial" w:cs="Arial"/>
          <w:sz w:val="22"/>
          <w:szCs w:val="22"/>
          <w:lang w:val="en-US"/>
        </w:rPr>
      </w:pPr>
    </w:p>
    <w:p w14:paraId="7034D614" w14:textId="77777777" w:rsidR="001454B0" w:rsidRPr="001454B0" w:rsidRDefault="001454B0" w:rsidP="001454B0">
      <w:pPr>
        <w:pStyle w:val="Default"/>
        <w:ind w:left="283" w:right="369" w:firstLine="437"/>
        <w:jc w:val="both"/>
        <w:rPr>
          <w:rFonts w:ascii="Arial" w:hAnsi="Arial" w:cs="Arial"/>
          <w:sz w:val="22"/>
          <w:szCs w:val="22"/>
        </w:rPr>
      </w:pPr>
    </w:p>
    <w:p w14:paraId="3605BA52" w14:textId="77777777" w:rsidR="001454B0" w:rsidRPr="001454B0" w:rsidRDefault="001454B0" w:rsidP="001454B0">
      <w:pPr>
        <w:pStyle w:val="Default"/>
        <w:tabs>
          <w:tab w:val="left" w:pos="6946"/>
        </w:tabs>
        <w:ind w:right="-22" w:firstLine="437"/>
        <w:jc w:val="both"/>
        <w:rPr>
          <w:rFonts w:ascii="Arial" w:hAnsi="Arial" w:cs="Arial"/>
          <w:sz w:val="22"/>
          <w:szCs w:val="22"/>
        </w:rPr>
      </w:pPr>
      <w:r w:rsidRPr="001454B0">
        <w:rPr>
          <w:rFonts w:ascii="Arial" w:hAnsi="Arial" w:cs="Arial"/>
          <w:sz w:val="22"/>
          <w:szCs w:val="22"/>
        </w:rPr>
        <w:t xml:space="preserve">From table no. 1 and graph no. 1 can be concluded that Finland has provided the highest coverage with reserves of oil and oil derivatives </w:t>
      </w:r>
      <w:r w:rsidRPr="001454B0">
        <w:rPr>
          <w:rFonts w:ascii="Arial" w:hAnsi="Arial" w:cs="Arial"/>
          <w:sz w:val="22"/>
          <w:szCs w:val="22"/>
          <w:lang w:val="en-US"/>
        </w:rPr>
        <w:t>(</w:t>
      </w:r>
      <w:r w:rsidRPr="001454B0">
        <w:rPr>
          <w:rFonts w:ascii="Arial" w:hAnsi="Arial" w:cs="Arial"/>
          <w:sz w:val="22"/>
          <w:szCs w:val="22"/>
        </w:rPr>
        <w:t>184 days</w:t>
      </w:r>
      <w:r w:rsidRPr="001454B0">
        <w:rPr>
          <w:rFonts w:ascii="Arial" w:hAnsi="Arial" w:cs="Arial"/>
          <w:sz w:val="22"/>
          <w:szCs w:val="22"/>
          <w:lang w:val="en-US"/>
        </w:rPr>
        <w:t>)</w:t>
      </w:r>
      <w:r w:rsidRPr="001454B0">
        <w:rPr>
          <w:rFonts w:ascii="Arial" w:hAnsi="Arial" w:cs="Arial"/>
          <w:sz w:val="22"/>
          <w:szCs w:val="22"/>
        </w:rPr>
        <w:t xml:space="preserve">, followed by the Netherlands </w:t>
      </w:r>
      <w:r w:rsidRPr="001454B0">
        <w:rPr>
          <w:rFonts w:ascii="Arial" w:hAnsi="Arial" w:cs="Arial"/>
          <w:sz w:val="22"/>
          <w:szCs w:val="22"/>
          <w:lang w:val="en-US"/>
        </w:rPr>
        <w:t>(</w:t>
      </w:r>
      <w:r w:rsidRPr="001454B0">
        <w:rPr>
          <w:rFonts w:ascii="Arial" w:hAnsi="Arial" w:cs="Arial"/>
          <w:sz w:val="22"/>
          <w:szCs w:val="22"/>
        </w:rPr>
        <w:t>113 days</w:t>
      </w:r>
      <w:r w:rsidRPr="001454B0">
        <w:rPr>
          <w:rFonts w:ascii="Arial" w:hAnsi="Arial" w:cs="Arial"/>
          <w:sz w:val="22"/>
          <w:szCs w:val="22"/>
          <w:lang w:val="en-US"/>
        </w:rPr>
        <w:t>)</w:t>
      </w:r>
      <w:r w:rsidRPr="001454B0">
        <w:rPr>
          <w:rFonts w:ascii="Arial" w:hAnsi="Arial" w:cs="Arial"/>
          <w:sz w:val="22"/>
          <w:szCs w:val="22"/>
        </w:rPr>
        <w:t xml:space="preserve">, Sweden </w:t>
      </w:r>
      <w:r w:rsidRPr="001454B0">
        <w:rPr>
          <w:rFonts w:ascii="Arial" w:hAnsi="Arial" w:cs="Arial"/>
          <w:sz w:val="22"/>
          <w:szCs w:val="22"/>
          <w:lang w:val="en-US"/>
        </w:rPr>
        <w:t>(</w:t>
      </w:r>
      <w:r w:rsidRPr="001454B0">
        <w:rPr>
          <w:rFonts w:ascii="Arial" w:hAnsi="Arial" w:cs="Arial"/>
          <w:sz w:val="22"/>
          <w:szCs w:val="22"/>
        </w:rPr>
        <w:t>112 days</w:t>
      </w:r>
      <w:r w:rsidRPr="001454B0">
        <w:rPr>
          <w:rFonts w:ascii="Arial" w:hAnsi="Arial" w:cs="Arial"/>
          <w:sz w:val="22"/>
          <w:szCs w:val="22"/>
          <w:lang w:val="en-US"/>
        </w:rPr>
        <w:t>)</w:t>
      </w:r>
      <w:r w:rsidRPr="001454B0">
        <w:rPr>
          <w:rFonts w:ascii="Arial" w:hAnsi="Arial" w:cs="Arial"/>
          <w:sz w:val="22"/>
          <w:szCs w:val="22"/>
        </w:rPr>
        <w:t xml:space="preserve"> and Belgium </w:t>
      </w:r>
      <w:r w:rsidRPr="001454B0">
        <w:rPr>
          <w:rFonts w:ascii="Arial" w:hAnsi="Arial" w:cs="Arial"/>
          <w:sz w:val="22"/>
          <w:szCs w:val="22"/>
          <w:lang w:val="en-US"/>
        </w:rPr>
        <w:t>(</w:t>
      </w:r>
      <w:r w:rsidRPr="001454B0">
        <w:rPr>
          <w:rFonts w:ascii="Arial" w:hAnsi="Arial" w:cs="Arial"/>
          <w:sz w:val="22"/>
          <w:szCs w:val="22"/>
        </w:rPr>
        <w:t>106 days</w:t>
      </w:r>
      <w:r w:rsidRPr="001454B0">
        <w:rPr>
          <w:rFonts w:ascii="Arial" w:hAnsi="Arial" w:cs="Arial"/>
          <w:sz w:val="22"/>
          <w:szCs w:val="22"/>
          <w:lang w:val="en-US"/>
        </w:rPr>
        <w:t>)</w:t>
      </w:r>
      <w:r w:rsidRPr="001454B0">
        <w:rPr>
          <w:rFonts w:ascii="Arial" w:hAnsi="Arial" w:cs="Arial"/>
          <w:sz w:val="22"/>
          <w:szCs w:val="22"/>
        </w:rPr>
        <w:t xml:space="preserve"> of reserve coverage.</w:t>
      </w:r>
    </w:p>
    <w:p w14:paraId="14C9BBC6" w14:textId="77777777" w:rsidR="001454B0" w:rsidRPr="001454B0" w:rsidRDefault="001454B0" w:rsidP="001454B0">
      <w:pPr>
        <w:pStyle w:val="Default"/>
        <w:ind w:left="283" w:right="369" w:firstLine="437"/>
        <w:jc w:val="both"/>
        <w:rPr>
          <w:rFonts w:ascii="Arial" w:hAnsi="Arial" w:cs="Arial"/>
          <w:sz w:val="22"/>
          <w:szCs w:val="22"/>
          <w:lang w:val="en-US"/>
        </w:rPr>
      </w:pPr>
    </w:p>
    <w:p w14:paraId="42AAC562" w14:textId="77777777" w:rsidR="001454B0" w:rsidRPr="001454B0" w:rsidRDefault="001454B0" w:rsidP="001454B0">
      <w:pPr>
        <w:pStyle w:val="Default"/>
        <w:ind w:right="369"/>
        <w:jc w:val="both"/>
        <w:rPr>
          <w:rFonts w:ascii="Arial" w:hAnsi="Arial" w:cs="Arial"/>
          <w:sz w:val="22"/>
          <w:szCs w:val="22"/>
          <w:lang w:val="en-US"/>
        </w:rPr>
      </w:pPr>
      <w:r w:rsidRPr="001454B0">
        <w:rPr>
          <w:rFonts w:ascii="Arial" w:hAnsi="Arial" w:cs="Arial"/>
          <w:sz w:val="22"/>
          <w:szCs w:val="22"/>
        </w:rPr>
        <w:t>Table No. 2 Minimum necessary oil reserves for compliance with the EU regulation, 31.12.2023</w:t>
      </w:r>
    </w:p>
    <w:tbl>
      <w:tblPr>
        <w:tblW w:w="6789" w:type="dxa"/>
        <w:tblLook w:val="04A0" w:firstRow="1" w:lastRow="0" w:firstColumn="1" w:lastColumn="0" w:noHBand="0" w:noVBand="1"/>
      </w:tblPr>
      <w:tblGrid>
        <w:gridCol w:w="3109"/>
        <w:gridCol w:w="3680"/>
      </w:tblGrid>
      <w:tr w:rsidR="001454B0" w:rsidRPr="001454B0" w14:paraId="23E0721A" w14:textId="77777777" w:rsidTr="00D30366">
        <w:trPr>
          <w:trHeight w:val="315"/>
        </w:trPr>
        <w:tc>
          <w:tcPr>
            <w:tcW w:w="3109"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2C6321A3" w14:textId="77777777" w:rsidR="001454B0" w:rsidRPr="001454B0" w:rsidRDefault="001454B0" w:rsidP="001454B0">
            <w:pPr>
              <w:jc w:val="center"/>
              <w:rPr>
                <w:rFonts w:ascii="Arial" w:eastAsia="Times New Roman" w:hAnsi="Arial" w:cs="Arial"/>
                <w:color w:val="000000"/>
              </w:rPr>
            </w:pPr>
            <w:r w:rsidRPr="001454B0">
              <w:rPr>
                <w:rFonts w:ascii="Arial" w:eastAsia="Times New Roman" w:hAnsi="Arial" w:cs="Arial"/>
                <w:color w:val="000000"/>
              </w:rPr>
              <w:t>State</w:t>
            </w:r>
          </w:p>
        </w:tc>
        <w:tc>
          <w:tcPr>
            <w:tcW w:w="3680" w:type="dxa"/>
            <w:tcBorders>
              <w:top w:val="single" w:sz="8" w:space="0" w:color="auto"/>
              <w:left w:val="nil"/>
              <w:bottom w:val="single" w:sz="8" w:space="0" w:color="auto"/>
              <w:right w:val="single" w:sz="8" w:space="0" w:color="auto"/>
            </w:tcBorders>
            <w:shd w:val="clear" w:color="000000" w:fill="F2F2F2"/>
            <w:vAlign w:val="center"/>
            <w:hideMark/>
          </w:tcPr>
          <w:p w14:paraId="720E264E" w14:textId="77777777" w:rsidR="001454B0" w:rsidRPr="001454B0" w:rsidRDefault="001454B0" w:rsidP="001454B0">
            <w:pPr>
              <w:jc w:val="center"/>
              <w:rPr>
                <w:rFonts w:ascii="Arial" w:eastAsia="Times New Roman" w:hAnsi="Arial" w:cs="Arial"/>
                <w:color w:val="000000"/>
              </w:rPr>
            </w:pPr>
            <w:r w:rsidRPr="001454B0">
              <w:rPr>
                <w:rFonts w:ascii="Arial" w:eastAsia="Times New Roman" w:hAnsi="Arial" w:cs="Arial"/>
                <w:color w:val="000000"/>
              </w:rPr>
              <w:t>Stock minimum in thousands of tons</w:t>
            </w:r>
          </w:p>
        </w:tc>
      </w:tr>
      <w:tr w:rsidR="001454B0" w:rsidRPr="001454B0" w14:paraId="7AF3EC86"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4861B58"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Belgium</w:t>
            </w:r>
          </w:p>
        </w:tc>
        <w:tc>
          <w:tcPr>
            <w:tcW w:w="3680" w:type="dxa"/>
            <w:tcBorders>
              <w:top w:val="nil"/>
              <w:left w:val="nil"/>
              <w:bottom w:val="single" w:sz="8" w:space="0" w:color="auto"/>
              <w:right w:val="single" w:sz="8" w:space="0" w:color="auto"/>
            </w:tcBorders>
            <w:shd w:val="clear" w:color="auto" w:fill="auto"/>
            <w:noWrap/>
            <w:vAlign w:val="center"/>
            <w:hideMark/>
          </w:tcPr>
          <w:p w14:paraId="57D3FF3F"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3,307</w:t>
            </w:r>
          </w:p>
        </w:tc>
      </w:tr>
      <w:tr w:rsidR="001454B0" w:rsidRPr="001454B0" w14:paraId="4238ECCE"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AC5CC4F"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Bulgaria</w:t>
            </w:r>
          </w:p>
        </w:tc>
        <w:tc>
          <w:tcPr>
            <w:tcW w:w="3680" w:type="dxa"/>
            <w:tcBorders>
              <w:top w:val="nil"/>
              <w:left w:val="nil"/>
              <w:bottom w:val="single" w:sz="8" w:space="0" w:color="auto"/>
              <w:right w:val="single" w:sz="8" w:space="0" w:color="auto"/>
            </w:tcBorders>
            <w:shd w:val="clear" w:color="auto" w:fill="auto"/>
            <w:noWrap/>
            <w:vAlign w:val="center"/>
            <w:hideMark/>
          </w:tcPr>
          <w:p w14:paraId="113BE7D1"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1,186</w:t>
            </w:r>
          </w:p>
        </w:tc>
      </w:tr>
      <w:tr w:rsidR="001454B0" w:rsidRPr="001454B0" w14:paraId="77B05BE0"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CE1774D"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Czechia</w:t>
            </w:r>
          </w:p>
        </w:tc>
        <w:tc>
          <w:tcPr>
            <w:tcW w:w="3680" w:type="dxa"/>
            <w:tcBorders>
              <w:top w:val="nil"/>
              <w:left w:val="nil"/>
              <w:bottom w:val="single" w:sz="8" w:space="0" w:color="auto"/>
              <w:right w:val="single" w:sz="8" w:space="0" w:color="auto"/>
            </w:tcBorders>
            <w:shd w:val="clear" w:color="auto" w:fill="auto"/>
            <w:noWrap/>
            <w:vAlign w:val="center"/>
            <w:hideMark/>
          </w:tcPr>
          <w:p w14:paraId="10AA7DFF"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2,065</w:t>
            </w:r>
          </w:p>
        </w:tc>
      </w:tr>
      <w:tr w:rsidR="001454B0" w:rsidRPr="001454B0" w14:paraId="4C580AC3"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43C1A213"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Denmark</w:t>
            </w:r>
          </w:p>
        </w:tc>
        <w:tc>
          <w:tcPr>
            <w:tcW w:w="3680" w:type="dxa"/>
            <w:tcBorders>
              <w:top w:val="nil"/>
              <w:left w:val="nil"/>
              <w:bottom w:val="single" w:sz="8" w:space="0" w:color="auto"/>
              <w:right w:val="single" w:sz="8" w:space="0" w:color="auto"/>
            </w:tcBorders>
            <w:shd w:val="clear" w:color="auto" w:fill="auto"/>
            <w:noWrap/>
            <w:vAlign w:val="center"/>
            <w:hideMark/>
          </w:tcPr>
          <w:p w14:paraId="76739CEC"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1,166</w:t>
            </w:r>
          </w:p>
        </w:tc>
      </w:tr>
      <w:tr w:rsidR="001454B0" w:rsidRPr="001454B0" w14:paraId="0D4D334E"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8A1AC96"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Germany</w:t>
            </w:r>
          </w:p>
        </w:tc>
        <w:tc>
          <w:tcPr>
            <w:tcW w:w="3680" w:type="dxa"/>
            <w:tcBorders>
              <w:top w:val="nil"/>
              <w:left w:val="nil"/>
              <w:bottom w:val="single" w:sz="8" w:space="0" w:color="auto"/>
              <w:right w:val="single" w:sz="8" w:space="0" w:color="auto"/>
            </w:tcBorders>
            <w:shd w:val="clear" w:color="auto" w:fill="auto"/>
            <w:noWrap/>
            <w:vAlign w:val="center"/>
            <w:hideMark/>
          </w:tcPr>
          <w:p w14:paraId="1D66D6DA"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20,266</w:t>
            </w:r>
          </w:p>
        </w:tc>
      </w:tr>
      <w:tr w:rsidR="001454B0" w:rsidRPr="001454B0" w14:paraId="6CDFC831"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5B5DD19"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Estonia</w:t>
            </w:r>
          </w:p>
        </w:tc>
        <w:tc>
          <w:tcPr>
            <w:tcW w:w="3680" w:type="dxa"/>
            <w:tcBorders>
              <w:top w:val="nil"/>
              <w:left w:val="nil"/>
              <w:bottom w:val="single" w:sz="8" w:space="0" w:color="auto"/>
              <w:right w:val="single" w:sz="8" w:space="0" w:color="auto"/>
            </w:tcBorders>
            <w:shd w:val="clear" w:color="auto" w:fill="auto"/>
            <w:noWrap/>
            <w:vAlign w:val="center"/>
            <w:hideMark/>
          </w:tcPr>
          <w:p w14:paraId="0CEFF6E8"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209</w:t>
            </w:r>
          </w:p>
        </w:tc>
      </w:tr>
      <w:tr w:rsidR="001454B0" w:rsidRPr="001454B0" w14:paraId="4780238F"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00FFC8E"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lastRenderedPageBreak/>
              <w:t>Ireland</w:t>
            </w:r>
          </w:p>
        </w:tc>
        <w:tc>
          <w:tcPr>
            <w:tcW w:w="3680" w:type="dxa"/>
            <w:tcBorders>
              <w:top w:val="nil"/>
              <w:left w:val="nil"/>
              <w:bottom w:val="single" w:sz="8" w:space="0" w:color="auto"/>
              <w:right w:val="single" w:sz="8" w:space="0" w:color="auto"/>
            </w:tcBorders>
            <w:shd w:val="clear" w:color="auto" w:fill="auto"/>
            <w:noWrap/>
            <w:vAlign w:val="center"/>
            <w:hideMark/>
          </w:tcPr>
          <w:p w14:paraId="6058BE0F"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1,792</w:t>
            </w:r>
          </w:p>
        </w:tc>
      </w:tr>
      <w:tr w:rsidR="001454B0" w:rsidRPr="001454B0" w14:paraId="521B839A"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9E10430"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Greece</w:t>
            </w:r>
          </w:p>
        </w:tc>
        <w:tc>
          <w:tcPr>
            <w:tcW w:w="3680" w:type="dxa"/>
            <w:tcBorders>
              <w:top w:val="nil"/>
              <w:left w:val="nil"/>
              <w:bottom w:val="single" w:sz="8" w:space="0" w:color="auto"/>
              <w:right w:val="single" w:sz="8" w:space="0" w:color="auto"/>
            </w:tcBorders>
            <w:shd w:val="clear" w:color="auto" w:fill="auto"/>
            <w:noWrap/>
            <w:vAlign w:val="center"/>
            <w:hideMark/>
          </w:tcPr>
          <w:p w14:paraId="686A53BE"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2,933</w:t>
            </w:r>
          </w:p>
        </w:tc>
      </w:tr>
      <w:tr w:rsidR="001454B0" w:rsidRPr="001454B0" w14:paraId="61D2FF46"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4949426"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Spain</w:t>
            </w:r>
          </w:p>
        </w:tc>
        <w:tc>
          <w:tcPr>
            <w:tcW w:w="3680" w:type="dxa"/>
            <w:tcBorders>
              <w:top w:val="nil"/>
              <w:left w:val="nil"/>
              <w:bottom w:val="single" w:sz="8" w:space="0" w:color="auto"/>
              <w:right w:val="single" w:sz="8" w:space="0" w:color="auto"/>
            </w:tcBorders>
            <w:shd w:val="clear" w:color="auto" w:fill="auto"/>
            <w:noWrap/>
            <w:vAlign w:val="center"/>
            <w:hideMark/>
          </w:tcPr>
          <w:p w14:paraId="53042A2E"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12,071</w:t>
            </w:r>
          </w:p>
        </w:tc>
      </w:tr>
      <w:tr w:rsidR="001454B0" w:rsidRPr="001454B0" w14:paraId="6FE012E8"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6981517"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France</w:t>
            </w:r>
          </w:p>
        </w:tc>
        <w:tc>
          <w:tcPr>
            <w:tcW w:w="3680" w:type="dxa"/>
            <w:tcBorders>
              <w:top w:val="nil"/>
              <w:left w:val="nil"/>
              <w:bottom w:val="single" w:sz="8" w:space="0" w:color="auto"/>
              <w:right w:val="single" w:sz="8" w:space="0" w:color="auto"/>
            </w:tcBorders>
            <w:shd w:val="clear" w:color="auto" w:fill="auto"/>
            <w:noWrap/>
            <w:vAlign w:val="center"/>
            <w:hideMark/>
          </w:tcPr>
          <w:p w14:paraId="436E0C71"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16,158</w:t>
            </w:r>
          </w:p>
        </w:tc>
      </w:tr>
      <w:tr w:rsidR="001454B0" w:rsidRPr="001454B0" w14:paraId="22C6A323"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2422F8B"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Croatia</w:t>
            </w:r>
          </w:p>
        </w:tc>
        <w:tc>
          <w:tcPr>
            <w:tcW w:w="3680" w:type="dxa"/>
            <w:tcBorders>
              <w:top w:val="nil"/>
              <w:left w:val="nil"/>
              <w:bottom w:val="single" w:sz="8" w:space="0" w:color="auto"/>
              <w:right w:val="single" w:sz="8" w:space="0" w:color="auto"/>
            </w:tcBorders>
            <w:shd w:val="clear" w:color="auto" w:fill="auto"/>
            <w:noWrap/>
            <w:vAlign w:val="center"/>
            <w:hideMark/>
          </w:tcPr>
          <w:p w14:paraId="40269248"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702</w:t>
            </w:r>
          </w:p>
        </w:tc>
      </w:tr>
      <w:tr w:rsidR="001454B0" w:rsidRPr="001454B0" w14:paraId="7962689C"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96D2B11"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Italy</w:t>
            </w:r>
          </w:p>
        </w:tc>
        <w:tc>
          <w:tcPr>
            <w:tcW w:w="3680" w:type="dxa"/>
            <w:tcBorders>
              <w:top w:val="nil"/>
              <w:left w:val="nil"/>
              <w:bottom w:val="single" w:sz="8" w:space="0" w:color="auto"/>
              <w:right w:val="single" w:sz="8" w:space="0" w:color="auto"/>
            </w:tcBorders>
            <w:shd w:val="clear" w:color="auto" w:fill="auto"/>
            <w:noWrap/>
            <w:vAlign w:val="center"/>
            <w:hideMark/>
          </w:tcPr>
          <w:p w14:paraId="2C19EB3E"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10,549</w:t>
            </w:r>
          </w:p>
        </w:tc>
      </w:tr>
      <w:tr w:rsidR="001454B0" w:rsidRPr="001454B0" w14:paraId="33F87BE7"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4F5426A0"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Cyprus</w:t>
            </w:r>
          </w:p>
        </w:tc>
        <w:tc>
          <w:tcPr>
            <w:tcW w:w="3680" w:type="dxa"/>
            <w:tcBorders>
              <w:top w:val="nil"/>
              <w:left w:val="nil"/>
              <w:bottom w:val="single" w:sz="8" w:space="0" w:color="auto"/>
              <w:right w:val="single" w:sz="8" w:space="0" w:color="auto"/>
            </w:tcBorders>
            <w:shd w:val="clear" w:color="auto" w:fill="auto"/>
            <w:noWrap/>
            <w:vAlign w:val="center"/>
            <w:hideMark/>
          </w:tcPr>
          <w:p w14:paraId="6A5AAF00"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570</w:t>
            </w:r>
          </w:p>
        </w:tc>
      </w:tr>
      <w:tr w:rsidR="001454B0" w:rsidRPr="001454B0" w14:paraId="4F2F4C8E"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EB60BC8"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Latvia</w:t>
            </w:r>
          </w:p>
        </w:tc>
        <w:tc>
          <w:tcPr>
            <w:tcW w:w="3680" w:type="dxa"/>
            <w:tcBorders>
              <w:top w:val="nil"/>
              <w:left w:val="nil"/>
              <w:bottom w:val="single" w:sz="8" w:space="0" w:color="auto"/>
              <w:right w:val="single" w:sz="8" w:space="0" w:color="auto"/>
            </w:tcBorders>
            <w:shd w:val="clear" w:color="auto" w:fill="auto"/>
            <w:noWrap/>
            <w:vAlign w:val="center"/>
            <w:hideMark/>
          </w:tcPr>
          <w:p w14:paraId="08EEE0B6"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390</w:t>
            </w:r>
          </w:p>
        </w:tc>
      </w:tr>
      <w:tr w:rsidR="001454B0" w:rsidRPr="001454B0" w14:paraId="1A82384A"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498C464"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Lithuania</w:t>
            </w:r>
          </w:p>
        </w:tc>
        <w:tc>
          <w:tcPr>
            <w:tcW w:w="3680" w:type="dxa"/>
            <w:tcBorders>
              <w:top w:val="nil"/>
              <w:left w:val="nil"/>
              <w:bottom w:val="single" w:sz="8" w:space="0" w:color="auto"/>
              <w:right w:val="single" w:sz="8" w:space="0" w:color="auto"/>
            </w:tcBorders>
            <w:shd w:val="clear" w:color="auto" w:fill="auto"/>
            <w:noWrap/>
            <w:vAlign w:val="center"/>
            <w:hideMark/>
          </w:tcPr>
          <w:p w14:paraId="53B3243E"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560</w:t>
            </w:r>
          </w:p>
        </w:tc>
      </w:tr>
      <w:tr w:rsidR="001454B0" w:rsidRPr="001454B0" w14:paraId="641BAD36"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0B63997"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Luxembourg</w:t>
            </w:r>
          </w:p>
        </w:tc>
        <w:tc>
          <w:tcPr>
            <w:tcW w:w="3680" w:type="dxa"/>
            <w:tcBorders>
              <w:top w:val="nil"/>
              <w:left w:val="nil"/>
              <w:bottom w:val="single" w:sz="8" w:space="0" w:color="auto"/>
              <w:right w:val="single" w:sz="8" w:space="0" w:color="auto"/>
            </w:tcBorders>
            <w:shd w:val="clear" w:color="auto" w:fill="auto"/>
            <w:noWrap/>
            <w:vAlign w:val="center"/>
            <w:hideMark/>
          </w:tcPr>
          <w:p w14:paraId="39CC0D01"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613</w:t>
            </w:r>
          </w:p>
        </w:tc>
      </w:tr>
      <w:tr w:rsidR="001454B0" w:rsidRPr="001454B0" w14:paraId="7992592C"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4D0E642"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Hungary</w:t>
            </w:r>
          </w:p>
        </w:tc>
        <w:tc>
          <w:tcPr>
            <w:tcW w:w="3680" w:type="dxa"/>
            <w:tcBorders>
              <w:top w:val="nil"/>
              <w:left w:val="nil"/>
              <w:bottom w:val="single" w:sz="8" w:space="0" w:color="auto"/>
              <w:right w:val="single" w:sz="8" w:space="0" w:color="auto"/>
            </w:tcBorders>
            <w:shd w:val="clear" w:color="auto" w:fill="auto"/>
            <w:noWrap/>
            <w:vAlign w:val="center"/>
            <w:hideMark/>
          </w:tcPr>
          <w:p w14:paraId="2D1E2C33"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1,399</w:t>
            </w:r>
          </w:p>
        </w:tc>
      </w:tr>
      <w:tr w:rsidR="001454B0" w:rsidRPr="001454B0" w14:paraId="3411258F"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E73D31C"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Malta</w:t>
            </w:r>
          </w:p>
        </w:tc>
        <w:tc>
          <w:tcPr>
            <w:tcW w:w="3680" w:type="dxa"/>
            <w:tcBorders>
              <w:top w:val="nil"/>
              <w:left w:val="nil"/>
              <w:bottom w:val="single" w:sz="8" w:space="0" w:color="auto"/>
              <w:right w:val="single" w:sz="8" w:space="0" w:color="auto"/>
            </w:tcBorders>
            <w:shd w:val="clear" w:color="auto" w:fill="auto"/>
            <w:noWrap/>
            <w:vAlign w:val="center"/>
            <w:hideMark/>
          </w:tcPr>
          <w:p w14:paraId="3C76C931"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88</w:t>
            </w:r>
          </w:p>
        </w:tc>
      </w:tr>
      <w:tr w:rsidR="001454B0" w:rsidRPr="001454B0" w14:paraId="1667FE93"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0DAA0BD"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Netherlands</w:t>
            </w:r>
          </w:p>
        </w:tc>
        <w:tc>
          <w:tcPr>
            <w:tcW w:w="3680" w:type="dxa"/>
            <w:tcBorders>
              <w:top w:val="nil"/>
              <w:left w:val="nil"/>
              <w:bottom w:val="single" w:sz="8" w:space="0" w:color="auto"/>
              <w:right w:val="single" w:sz="8" w:space="0" w:color="auto"/>
            </w:tcBorders>
            <w:shd w:val="clear" w:color="auto" w:fill="auto"/>
            <w:noWrap/>
            <w:vAlign w:val="center"/>
            <w:hideMark/>
          </w:tcPr>
          <w:p w14:paraId="2E553892"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2,593</w:t>
            </w:r>
          </w:p>
        </w:tc>
      </w:tr>
      <w:tr w:rsidR="001454B0" w:rsidRPr="001454B0" w14:paraId="329F7B0C"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2E9E1675"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Austria</w:t>
            </w:r>
          </w:p>
        </w:tc>
        <w:tc>
          <w:tcPr>
            <w:tcW w:w="3680" w:type="dxa"/>
            <w:tcBorders>
              <w:top w:val="nil"/>
              <w:left w:val="nil"/>
              <w:bottom w:val="single" w:sz="8" w:space="0" w:color="auto"/>
              <w:right w:val="single" w:sz="8" w:space="0" w:color="auto"/>
            </w:tcBorders>
            <w:shd w:val="clear" w:color="auto" w:fill="auto"/>
            <w:noWrap/>
            <w:vAlign w:val="center"/>
            <w:hideMark/>
          </w:tcPr>
          <w:p w14:paraId="01D0642B"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2,519</w:t>
            </w:r>
          </w:p>
        </w:tc>
      </w:tr>
      <w:tr w:rsidR="001454B0" w:rsidRPr="001454B0" w14:paraId="3EB3BEA8"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2B404265"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Poland</w:t>
            </w:r>
          </w:p>
        </w:tc>
        <w:tc>
          <w:tcPr>
            <w:tcW w:w="3680" w:type="dxa"/>
            <w:tcBorders>
              <w:top w:val="nil"/>
              <w:left w:val="nil"/>
              <w:bottom w:val="single" w:sz="8" w:space="0" w:color="auto"/>
              <w:right w:val="single" w:sz="8" w:space="0" w:color="auto"/>
            </w:tcBorders>
            <w:shd w:val="clear" w:color="auto" w:fill="auto"/>
            <w:noWrap/>
            <w:vAlign w:val="center"/>
            <w:hideMark/>
          </w:tcPr>
          <w:p w14:paraId="5B3FEEA9"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6,659</w:t>
            </w:r>
          </w:p>
        </w:tc>
      </w:tr>
      <w:tr w:rsidR="001454B0" w:rsidRPr="001454B0" w14:paraId="78C4F5FB"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0A61723"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Portugal</w:t>
            </w:r>
          </w:p>
        </w:tc>
        <w:tc>
          <w:tcPr>
            <w:tcW w:w="3680" w:type="dxa"/>
            <w:tcBorders>
              <w:top w:val="nil"/>
              <w:left w:val="nil"/>
              <w:bottom w:val="single" w:sz="8" w:space="0" w:color="auto"/>
              <w:right w:val="single" w:sz="8" w:space="0" w:color="auto"/>
            </w:tcBorders>
            <w:shd w:val="clear" w:color="auto" w:fill="auto"/>
            <w:noWrap/>
            <w:vAlign w:val="center"/>
            <w:hideMark/>
          </w:tcPr>
          <w:p w14:paraId="4ED266F7"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2,381</w:t>
            </w:r>
          </w:p>
        </w:tc>
      </w:tr>
      <w:tr w:rsidR="001454B0" w:rsidRPr="001454B0" w14:paraId="55D85182"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71D9FBC"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Romania</w:t>
            </w:r>
          </w:p>
        </w:tc>
        <w:tc>
          <w:tcPr>
            <w:tcW w:w="3680" w:type="dxa"/>
            <w:tcBorders>
              <w:top w:val="nil"/>
              <w:left w:val="nil"/>
              <w:bottom w:val="single" w:sz="8" w:space="0" w:color="auto"/>
              <w:right w:val="single" w:sz="8" w:space="0" w:color="auto"/>
            </w:tcBorders>
            <w:shd w:val="clear" w:color="auto" w:fill="auto"/>
            <w:noWrap/>
            <w:vAlign w:val="center"/>
            <w:hideMark/>
          </w:tcPr>
          <w:p w14:paraId="0685CB63"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1,826</w:t>
            </w:r>
          </w:p>
        </w:tc>
      </w:tr>
      <w:tr w:rsidR="001454B0" w:rsidRPr="001454B0" w14:paraId="0C33D658"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6BBB912"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Slovenia</w:t>
            </w:r>
          </w:p>
        </w:tc>
        <w:tc>
          <w:tcPr>
            <w:tcW w:w="3680" w:type="dxa"/>
            <w:tcBorders>
              <w:top w:val="nil"/>
              <w:left w:val="nil"/>
              <w:bottom w:val="single" w:sz="8" w:space="0" w:color="auto"/>
              <w:right w:val="single" w:sz="8" w:space="0" w:color="auto"/>
            </w:tcBorders>
            <w:shd w:val="clear" w:color="auto" w:fill="auto"/>
            <w:noWrap/>
            <w:vAlign w:val="center"/>
            <w:hideMark/>
          </w:tcPr>
          <w:p w14:paraId="4AB7E75E"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621</w:t>
            </w:r>
          </w:p>
        </w:tc>
      </w:tr>
      <w:tr w:rsidR="001454B0" w:rsidRPr="001454B0" w14:paraId="2451BDF9"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BB2B59A"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Slovakia</w:t>
            </w:r>
          </w:p>
        </w:tc>
        <w:tc>
          <w:tcPr>
            <w:tcW w:w="3680" w:type="dxa"/>
            <w:tcBorders>
              <w:top w:val="nil"/>
              <w:left w:val="nil"/>
              <w:bottom w:val="single" w:sz="8" w:space="0" w:color="auto"/>
              <w:right w:val="single" w:sz="8" w:space="0" w:color="auto"/>
            </w:tcBorders>
            <w:shd w:val="clear" w:color="auto" w:fill="auto"/>
            <w:noWrap/>
            <w:vAlign w:val="center"/>
            <w:hideMark/>
          </w:tcPr>
          <w:p w14:paraId="51EDA14C"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706</w:t>
            </w:r>
          </w:p>
        </w:tc>
      </w:tr>
      <w:tr w:rsidR="001454B0" w:rsidRPr="001454B0" w14:paraId="113B7161"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EF1B95E"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Finland</w:t>
            </w:r>
          </w:p>
        </w:tc>
        <w:tc>
          <w:tcPr>
            <w:tcW w:w="3680" w:type="dxa"/>
            <w:tcBorders>
              <w:top w:val="nil"/>
              <w:left w:val="nil"/>
              <w:bottom w:val="single" w:sz="8" w:space="0" w:color="auto"/>
              <w:right w:val="single" w:sz="8" w:space="0" w:color="auto"/>
            </w:tcBorders>
            <w:shd w:val="clear" w:color="auto" w:fill="auto"/>
            <w:noWrap/>
            <w:vAlign w:val="center"/>
            <w:hideMark/>
          </w:tcPr>
          <w:p w14:paraId="4A614907"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1,628</w:t>
            </w:r>
          </w:p>
        </w:tc>
      </w:tr>
      <w:tr w:rsidR="001454B0" w:rsidRPr="001454B0" w14:paraId="39D9F4BC"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07955EE"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Sweden</w:t>
            </w:r>
          </w:p>
        </w:tc>
        <w:tc>
          <w:tcPr>
            <w:tcW w:w="3680" w:type="dxa"/>
            <w:tcBorders>
              <w:top w:val="nil"/>
              <w:left w:val="nil"/>
              <w:bottom w:val="single" w:sz="8" w:space="0" w:color="auto"/>
              <w:right w:val="single" w:sz="8" w:space="0" w:color="auto"/>
            </w:tcBorders>
            <w:shd w:val="clear" w:color="auto" w:fill="auto"/>
            <w:noWrap/>
            <w:vAlign w:val="center"/>
            <w:hideMark/>
          </w:tcPr>
          <w:p w14:paraId="39E24E13"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1,886</w:t>
            </w:r>
          </w:p>
        </w:tc>
      </w:tr>
      <w:tr w:rsidR="001454B0" w:rsidRPr="001454B0" w14:paraId="7A463152"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98EB539"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Macedonia</w:t>
            </w:r>
          </w:p>
        </w:tc>
        <w:tc>
          <w:tcPr>
            <w:tcW w:w="3680" w:type="dxa"/>
            <w:tcBorders>
              <w:top w:val="nil"/>
              <w:left w:val="nil"/>
              <w:bottom w:val="single" w:sz="8" w:space="0" w:color="auto"/>
              <w:right w:val="single" w:sz="8" w:space="0" w:color="auto"/>
            </w:tcBorders>
            <w:shd w:val="clear" w:color="auto" w:fill="auto"/>
            <w:noWrap/>
            <w:vAlign w:val="center"/>
            <w:hideMark/>
          </w:tcPr>
          <w:p w14:paraId="72CB3F3E"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310</w:t>
            </w:r>
          </w:p>
        </w:tc>
      </w:tr>
      <w:tr w:rsidR="001454B0" w:rsidRPr="001454B0" w14:paraId="022BC3CE"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1DF041B"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Albania</w:t>
            </w:r>
          </w:p>
        </w:tc>
        <w:tc>
          <w:tcPr>
            <w:tcW w:w="3680" w:type="dxa"/>
            <w:tcBorders>
              <w:top w:val="nil"/>
              <w:left w:val="nil"/>
              <w:bottom w:val="single" w:sz="8" w:space="0" w:color="auto"/>
              <w:right w:val="single" w:sz="8" w:space="0" w:color="auto"/>
            </w:tcBorders>
            <w:shd w:val="clear" w:color="auto" w:fill="auto"/>
            <w:noWrap/>
            <w:vAlign w:val="center"/>
            <w:hideMark/>
          </w:tcPr>
          <w:p w14:paraId="13AD809D"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0</w:t>
            </w:r>
          </w:p>
        </w:tc>
      </w:tr>
      <w:tr w:rsidR="001454B0" w:rsidRPr="001454B0" w14:paraId="01AE284F"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4037539"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Serbia</w:t>
            </w:r>
          </w:p>
        </w:tc>
        <w:tc>
          <w:tcPr>
            <w:tcW w:w="3680" w:type="dxa"/>
            <w:tcBorders>
              <w:top w:val="nil"/>
              <w:left w:val="nil"/>
              <w:bottom w:val="single" w:sz="8" w:space="0" w:color="auto"/>
              <w:right w:val="single" w:sz="8" w:space="0" w:color="auto"/>
            </w:tcBorders>
            <w:shd w:val="clear" w:color="auto" w:fill="auto"/>
            <w:noWrap/>
            <w:vAlign w:val="center"/>
            <w:hideMark/>
          </w:tcPr>
          <w:p w14:paraId="73B4FF2C"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676</w:t>
            </w:r>
          </w:p>
        </w:tc>
      </w:tr>
      <w:tr w:rsidR="001454B0" w:rsidRPr="001454B0" w14:paraId="34897156" w14:textId="77777777" w:rsidTr="00D30366">
        <w:trPr>
          <w:trHeight w:val="315"/>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14D12C7" w14:textId="77777777" w:rsidR="001454B0" w:rsidRPr="001454B0" w:rsidRDefault="001454B0" w:rsidP="001454B0">
            <w:pPr>
              <w:rPr>
                <w:rFonts w:ascii="Arial" w:eastAsia="Times New Roman" w:hAnsi="Arial" w:cs="Arial"/>
                <w:color w:val="000000"/>
              </w:rPr>
            </w:pPr>
            <w:r w:rsidRPr="001454B0">
              <w:rPr>
                <w:rFonts w:ascii="Arial" w:eastAsia="Times New Roman" w:hAnsi="Arial" w:cs="Arial"/>
                <w:color w:val="000000"/>
              </w:rPr>
              <w:t>Türkiye</w:t>
            </w:r>
          </w:p>
        </w:tc>
        <w:tc>
          <w:tcPr>
            <w:tcW w:w="3680" w:type="dxa"/>
            <w:tcBorders>
              <w:top w:val="nil"/>
              <w:left w:val="nil"/>
              <w:bottom w:val="single" w:sz="8" w:space="0" w:color="auto"/>
              <w:right w:val="single" w:sz="8" w:space="0" w:color="auto"/>
            </w:tcBorders>
            <w:shd w:val="clear" w:color="auto" w:fill="auto"/>
            <w:noWrap/>
            <w:vAlign w:val="center"/>
            <w:hideMark/>
          </w:tcPr>
          <w:p w14:paraId="54D618FC" w14:textId="77777777" w:rsidR="001454B0" w:rsidRPr="001454B0" w:rsidRDefault="001454B0" w:rsidP="001454B0">
            <w:pPr>
              <w:jc w:val="right"/>
              <w:rPr>
                <w:rFonts w:ascii="Arial" w:eastAsia="Times New Roman" w:hAnsi="Arial" w:cs="Arial"/>
                <w:color w:val="000000"/>
              </w:rPr>
            </w:pPr>
            <w:r w:rsidRPr="001454B0">
              <w:rPr>
                <w:rFonts w:ascii="Arial" w:eastAsia="Times New Roman" w:hAnsi="Arial" w:cs="Arial"/>
                <w:color w:val="000000"/>
              </w:rPr>
              <w:t>0</w:t>
            </w:r>
          </w:p>
        </w:tc>
      </w:tr>
    </w:tbl>
    <w:p w14:paraId="17CDB867" w14:textId="77777777" w:rsidR="001454B0" w:rsidRPr="001454B0" w:rsidRDefault="001454B0" w:rsidP="001454B0">
      <w:pPr>
        <w:pStyle w:val="Default"/>
        <w:ind w:right="369"/>
        <w:rPr>
          <w:rFonts w:ascii="Arial" w:hAnsi="Arial" w:cs="Arial"/>
          <w:i/>
          <w:sz w:val="22"/>
          <w:szCs w:val="22"/>
        </w:rPr>
      </w:pPr>
      <w:r w:rsidRPr="001454B0">
        <w:rPr>
          <w:rFonts w:ascii="Arial" w:hAnsi="Arial" w:cs="Arial"/>
          <w:i/>
          <w:sz w:val="22"/>
          <w:szCs w:val="22"/>
          <w:lang w:val="en-US"/>
        </w:rPr>
        <w:t>Source</w:t>
      </w:r>
      <w:r w:rsidRPr="001454B0">
        <w:rPr>
          <w:rFonts w:ascii="Arial" w:hAnsi="Arial" w:cs="Arial"/>
          <w:i/>
          <w:sz w:val="22"/>
          <w:szCs w:val="22"/>
        </w:rPr>
        <w:t xml:space="preserve">: </w:t>
      </w:r>
      <w:r w:rsidRPr="001454B0">
        <w:rPr>
          <w:rFonts w:ascii="Arial" w:hAnsi="Arial" w:cs="Arial"/>
          <w:i/>
          <w:sz w:val="22"/>
          <w:szCs w:val="22"/>
          <w:lang w:val="en-US"/>
        </w:rPr>
        <w:t>Eurostat</w:t>
      </w:r>
      <w:r w:rsidRPr="001454B0">
        <w:rPr>
          <w:rFonts w:ascii="Arial" w:hAnsi="Arial" w:cs="Arial"/>
          <w:i/>
          <w:sz w:val="22"/>
          <w:szCs w:val="22"/>
        </w:rPr>
        <w:t xml:space="preserve">  (https://ec.europa.eu/eurostat/databrowse</w:t>
      </w:r>
      <w:r w:rsidRPr="001454B0">
        <w:rPr>
          <w:rFonts w:ascii="Arial" w:hAnsi="Arial" w:cs="Arial"/>
          <w:i/>
          <w:sz w:val="22"/>
          <w:szCs w:val="22"/>
          <w:lang w:val="en-US"/>
        </w:rPr>
        <w:t>r</w:t>
      </w:r>
      <w:r w:rsidRPr="001454B0">
        <w:rPr>
          <w:rFonts w:ascii="Arial" w:hAnsi="Arial" w:cs="Arial"/>
          <w:i/>
          <w:sz w:val="22"/>
          <w:szCs w:val="22"/>
        </w:rPr>
        <w:t>)</w:t>
      </w:r>
    </w:p>
    <w:p w14:paraId="4A27F7D2" w14:textId="77777777" w:rsidR="001454B0" w:rsidRPr="001454B0" w:rsidRDefault="001454B0" w:rsidP="001454B0">
      <w:pPr>
        <w:pStyle w:val="Default"/>
        <w:ind w:right="119" w:firstLine="437"/>
        <w:jc w:val="both"/>
        <w:rPr>
          <w:rFonts w:ascii="Arial" w:hAnsi="Arial" w:cs="Arial"/>
          <w:sz w:val="22"/>
          <w:szCs w:val="22"/>
          <w:lang w:val="en-US"/>
        </w:rPr>
      </w:pPr>
    </w:p>
    <w:p w14:paraId="7A5B1A2A" w14:textId="77777777" w:rsidR="001454B0" w:rsidRPr="001454B0" w:rsidRDefault="001454B0" w:rsidP="001454B0">
      <w:pPr>
        <w:pStyle w:val="Default"/>
        <w:ind w:right="119" w:firstLine="437"/>
        <w:jc w:val="both"/>
        <w:rPr>
          <w:rFonts w:ascii="Arial" w:hAnsi="Arial" w:cs="Arial"/>
          <w:sz w:val="22"/>
          <w:szCs w:val="22"/>
        </w:rPr>
      </w:pPr>
      <w:r w:rsidRPr="001454B0">
        <w:rPr>
          <w:rFonts w:ascii="Arial" w:hAnsi="Arial" w:cs="Arial"/>
          <w:sz w:val="22"/>
          <w:szCs w:val="22"/>
        </w:rPr>
        <w:t>According to the data from table no. 2, it is necessary for Macedonia to acquire another 310</w:t>
      </w:r>
      <w:r w:rsidRPr="001454B0">
        <w:rPr>
          <w:rFonts w:ascii="Arial" w:hAnsi="Arial" w:cs="Arial"/>
          <w:sz w:val="22"/>
          <w:szCs w:val="22"/>
          <w:lang w:val="en-US"/>
        </w:rPr>
        <w:t>.</w:t>
      </w:r>
      <w:r w:rsidRPr="001454B0">
        <w:rPr>
          <w:rFonts w:ascii="Arial" w:hAnsi="Arial" w:cs="Arial"/>
          <w:sz w:val="22"/>
          <w:szCs w:val="22"/>
        </w:rPr>
        <w:t xml:space="preserve">000 tons of oil derivatives in order to achieve full compliance with the EU directives </w:t>
      </w:r>
      <w:r w:rsidRPr="001454B0">
        <w:rPr>
          <w:rFonts w:ascii="Arial" w:hAnsi="Arial" w:cs="Arial"/>
          <w:sz w:val="22"/>
          <w:szCs w:val="22"/>
          <w:lang w:val="en-US"/>
        </w:rPr>
        <w:t>concerning</w:t>
      </w:r>
      <w:r w:rsidRPr="001454B0">
        <w:rPr>
          <w:rFonts w:ascii="Arial" w:hAnsi="Arial" w:cs="Arial"/>
          <w:sz w:val="22"/>
          <w:szCs w:val="22"/>
        </w:rPr>
        <w:t xml:space="preserve"> coverage of oil derivatives from the </w:t>
      </w:r>
      <w:r w:rsidRPr="001454B0">
        <w:rPr>
          <w:rFonts w:ascii="Arial" w:hAnsi="Arial" w:cs="Arial"/>
          <w:sz w:val="22"/>
          <w:szCs w:val="22"/>
          <w:lang w:val="en-US"/>
        </w:rPr>
        <w:t>compulsory</w:t>
      </w:r>
      <w:r w:rsidRPr="001454B0">
        <w:rPr>
          <w:rFonts w:ascii="Arial" w:hAnsi="Arial" w:cs="Arial"/>
          <w:sz w:val="22"/>
          <w:szCs w:val="22"/>
        </w:rPr>
        <w:t xml:space="preserve"> reserves.</w:t>
      </w:r>
    </w:p>
    <w:p w14:paraId="1407A629" w14:textId="77777777" w:rsidR="001454B0" w:rsidRPr="001454B0" w:rsidRDefault="001454B0" w:rsidP="001454B0">
      <w:pPr>
        <w:jc w:val="center"/>
        <w:rPr>
          <w:rFonts w:ascii="Arial" w:hAnsi="Arial" w:cs="Arial"/>
          <w:b/>
        </w:rPr>
      </w:pPr>
    </w:p>
    <w:p w14:paraId="047E31C3" w14:textId="77777777" w:rsidR="001454B0" w:rsidRPr="001454B0" w:rsidRDefault="001454B0" w:rsidP="001454B0">
      <w:pPr>
        <w:jc w:val="center"/>
        <w:rPr>
          <w:rFonts w:ascii="Arial" w:hAnsi="Arial" w:cs="Arial"/>
          <w:b/>
        </w:rPr>
      </w:pPr>
      <w:r w:rsidRPr="001454B0">
        <w:rPr>
          <w:rFonts w:ascii="Arial" w:hAnsi="Arial" w:cs="Arial"/>
          <w:b/>
        </w:rPr>
        <w:t>Compulsory oil reserves in Macedonia</w:t>
      </w:r>
    </w:p>
    <w:p w14:paraId="7847C886" w14:textId="77777777" w:rsidR="001454B0" w:rsidRPr="001454B0" w:rsidRDefault="001454B0" w:rsidP="001454B0">
      <w:pPr>
        <w:pStyle w:val="Default"/>
        <w:ind w:left="283" w:right="369" w:firstLine="437"/>
        <w:jc w:val="both"/>
        <w:rPr>
          <w:rFonts w:ascii="Arial" w:hAnsi="Arial" w:cs="Arial"/>
          <w:sz w:val="22"/>
          <w:szCs w:val="22"/>
        </w:rPr>
      </w:pPr>
    </w:p>
    <w:p w14:paraId="74E4AFD7" w14:textId="77777777" w:rsidR="001454B0" w:rsidRPr="001454B0" w:rsidRDefault="001454B0" w:rsidP="001454B0">
      <w:pPr>
        <w:pStyle w:val="Default"/>
        <w:ind w:right="119" w:firstLine="720"/>
        <w:jc w:val="both"/>
        <w:rPr>
          <w:rFonts w:ascii="Arial" w:hAnsi="Arial" w:cs="Arial"/>
          <w:sz w:val="22"/>
          <w:szCs w:val="22"/>
          <w:lang w:val="en-US"/>
        </w:rPr>
      </w:pPr>
      <w:r w:rsidRPr="001454B0">
        <w:rPr>
          <w:rFonts w:ascii="Arial" w:hAnsi="Arial" w:cs="Arial"/>
          <w:sz w:val="22"/>
          <w:szCs w:val="22"/>
          <w:lang w:val="en-US"/>
        </w:rPr>
        <w:t xml:space="preserve">Compulsory oil reserves in Macedonia are established and kept in order to ensure uninterrupted supply to the market of crude oil and/or oil derivatives in the event of impaired energy security caused by an extraordinary disruption and a significant and sudden drop in the supply of crude oil and oil derivatives. The extraordinary disruption of supply can be caused by disruption of the regional market of crude oil and oil derivatives and/or by reasons and conditions whose occurrence cannot be influenced, and occurred on the territory of the RSM and/or in the countries through which imports crude oil and oil derivatives for the needs of the market in the RSM. Compulsory reserves are used in the event of disruption and disturbance in the supply of oil derivatives that may be caused on the market in the RSM. </w:t>
      </w:r>
      <w:r w:rsidRPr="001454B0">
        <w:rPr>
          <w:rFonts w:ascii="Arial" w:hAnsi="Arial" w:cs="Arial"/>
          <w:sz w:val="22"/>
          <w:szCs w:val="22"/>
          <w:lang w:val="en-US"/>
        </w:rPr>
        <w:lastRenderedPageBreak/>
        <w:t>Compulsory reserves are also used for the purpose of fulfilling the international obligations of the RSM</w:t>
      </w:r>
      <w:r w:rsidRPr="001454B0">
        <w:rPr>
          <w:rStyle w:val="FootnoteReference"/>
          <w:rFonts w:ascii="Arial" w:hAnsi="Arial" w:cs="Arial"/>
          <w:sz w:val="22"/>
          <w:szCs w:val="22"/>
        </w:rPr>
        <w:footnoteReference w:id="4"/>
      </w:r>
      <w:r w:rsidRPr="001454B0">
        <w:rPr>
          <w:rFonts w:ascii="Arial" w:hAnsi="Arial" w:cs="Arial"/>
          <w:sz w:val="22"/>
          <w:szCs w:val="22"/>
        </w:rPr>
        <w:t>.</w:t>
      </w:r>
    </w:p>
    <w:p w14:paraId="043AD25B" w14:textId="77777777" w:rsidR="001454B0" w:rsidRPr="001454B0" w:rsidRDefault="001454B0" w:rsidP="001454B0">
      <w:pPr>
        <w:pStyle w:val="Default"/>
        <w:ind w:right="119" w:firstLine="720"/>
        <w:jc w:val="both"/>
        <w:rPr>
          <w:rFonts w:ascii="Arial" w:hAnsi="Arial" w:cs="Arial"/>
          <w:sz w:val="22"/>
          <w:szCs w:val="22"/>
          <w:lang w:val="en-US"/>
        </w:rPr>
      </w:pPr>
      <w:r w:rsidRPr="001454B0">
        <w:rPr>
          <w:rFonts w:ascii="Arial" w:hAnsi="Arial" w:cs="Arial"/>
          <w:sz w:val="22"/>
          <w:szCs w:val="22"/>
          <w:lang w:val="en-US"/>
        </w:rPr>
        <w:t>Compulsory reserves are formed gradually in accordance with an action plan for the formation of compulsory reserves, in order to ensure that the total compulsory reserves held at any time in the RSM correspond to at least 90 days of daily average net imports or 61 days of average daily domestic consumption in the previous calendar year, depending on which of the two specified amounts is greater. Average daily net imports and average daily domestic consumption for the current calendar year are calculated based on the crude oil equivalent of imports and domestic consumption during the previous calendar year.</w:t>
      </w:r>
    </w:p>
    <w:p w14:paraId="5FA49B4A" w14:textId="77777777" w:rsidR="001454B0" w:rsidRPr="001454B0" w:rsidRDefault="001454B0" w:rsidP="001454B0">
      <w:pPr>
        <w:pStyle w:val="Default"/>
        <w:ind w:right="119" w:firstLine="720"/>
        <w:jc w:val="both"/>
        <w:rPr>
          <w:rFonts w:ascii="Arial" w:hAnsi="Arial" w:cs="Arial"/>
          <w:sz w:val="22"/>
          <w:szCs w:val="22"/>
          <w:lang w:val="en-US"/>
        </w:rPr>
      </w:pPr>
      <w:r w:rsidRPr="001454B0">
        <w:rPr>
          <w:rFonts w:ascii="Arial" w:hAnsi="Arial" w:cs="Arial"/>
          <w:sz w:val="22"/>
          <w:szCs w:val="22"/>
          <w:lang w:val="en-US"/>
        </w:rPr>
        <w:t>The Compulsory Oil Reserves Agency is the authorized institution for the establishment, maintenance, storage and selling of compulsory reserves of the RSM. The Agency is standalone, independent and non-profit legal entity that performs public interest affaires and is the central body for storing the compulsory oil reserves.</w:t>
      </w:r>
    </w:p>
    <w:p w14:paraId="6B29AAD5" w14:textId="77777777" w:rsidR="001454B0" w:rsidRDefault="001454B0" w:rsidP="001454B0">
      <w:pPr>
        <w:spacing w:before="120"/>
        <w:ind w:left="284" w:right="351"/>
        <w:jc w:val="both"/>
        <w:rPr>
          <w:rFonts w:ascii="Arial" w:hAnsi="Arial" w:cs="Arial"/>
          <w:b/>
        </w:rPr>
      </w:pPr>
    </w:p>
    <w:p w14:paraId="30D67AD0" w14:textId="650E2837" w:rsidR="001454B0" w:rsidRPr="001454B0" w:rsidRDefault="001454B0" w:rsidP="001454B0">
      <w:pPr>
        <w:spacing w:before="120"/>
        <w:ind w:left="284" w:right="351"/>
        <w:jc w:val="both"/>
        <w:rPr>
          <w:rFonts w:ascii="Arial" w:hAnsi="Arial" w:cs="Arial"/>
          <w:b/>
        </w:rPr>
      </w:pPr>
      <w:r w:rsidRPr="001454B0">
        <w:rPr>
          <w:rFonts w:ascii="Arial" w:hAnsi="Arial" w:cs="Arial"/>
          <w:b/>
        </w:rPr>
        <w:t xml:space="preserve">Table 3: </w:t>
      </w:r>
      <w:r w:rsidRPr="001454B0">
        <w:rPr>
          <w:rFonts w:ascii="Arial" w:hAnsi="Arial" w:cs="Arial"/>
        </w:rPr>
        <w:t>Average daily net imports and average daily internal consumption</w:t>
      </w:r>
      <w:r w:rsidRPr="001454B0">
        <w:rPr>
          <w:rStyle w:val="FootnoteReference"/>
          <w:rFonts w:ascii="Arial" w:hAnsi="Arial" w:cs="Arial"/>
        </w:rPr>
        <w:footnoteReference w:id="5"/>
      </w:r>
    </w:p>
    <w:p w14:paraId="2F325707" w14:textId="77777777" w:rsidR="001454B0" w:rsidRPr="001454B0" w:rsidRDefault="001454B0" w:rsidP="001454B0">
      <w:pPr>
        <w:ind w:left="720"/>
        <w:jc w:val="both"/>
        <w:rPr>
          <w:rFonts w:ascii="Arial" w:hAnsi="Arial" w:cs="Arial"/>
        </w:rPr>
      </w:pPr>
    </w:p>
    <w:tbl>
      <w:tblPr>
        <w:tblStyle w:val="TableGrid"/>
        <w:tblW w:w="7509" w:type="dxa"/>
        <w:tblInd w:w="-5" w:type="dxa"/>
        <w:tblLayout w:type="fixed"/>
        <w:tblLook w:val="04A0" w:firstRow="1" w:lastRow="0" w:firstColumn="1" w:lastColumn="0" w:noHBand="0" w:noVBand="1"/>
      </w:tblPr>
      <w:tblGrid>
        <w:gridCol w:w="1418"/>
        <w:gridCol w:w="900"/>
        <w:gridCol w:w="654"/>
        <w:gridCol w:w="900"/>
        <w:gridCol w:w="664"/>
        <w:gridCol w:w="791"/>
        <w:gridCol w:w="688"/>
        <w:gridCol w:w="808"/>
        <w:gridCol w:w="686"/>
      </w:tblGrid>
      <w:tr w:rsidR="001454B0" w:rsidRPr="001454B0" w14:paraId="43DC8088" w14:textId="77777777" w:rsidTr="00D30366">
        <w:tc>
          <w:tcPr>
            <w:tcW w:w="1418" w:type="dxa"/>
            <w:tcBorders>
              <w:top w:val="single" w:sz="4" w:space="0" w:color="auto"/>
              <w:left w:val="single" w:sz="4" w:space="0" w:color="auto"/>
              <w:bottom w:val="nil"/>
              <w:right w:val="single" w:sz="4" w:space="0" w:color="auto"/>
            </w:tcBorders>
          </w:tcPr>
          <w:p w14:paraId="39417CBD" w14:textId="77777777" w:rsidR="001454B0" w:rsidRPr="001454B0" w:rsidRDefault="001454B0" w:rsidP="001454B0">
            <w:pPr>
              <w:ind w:left="314"/>
              <w:jc w:val="center"/>
              <w:rPr>
                <w:rFonts w:cs="Arial"/>
              </w:rPr>
            </w:pPr>
          </w:p>
        </w:tc>
        <w:tc>
          <w:tcPr>
            <w:tcW w:w="1554" w:type="dxa"/>
            <w:gridSpan w:val="2"/>
            <w:tcBorders>
              <w:left w:val="single" w:sz="4" w:space="0" w:color="auto"/>
            </w:tcBorders>
            <w:shd w:val="clear" w:color="auto" w:fill="F2F2F2" w:themeFill="background1" w:themeFillShade="F2"/>
          </w:tcPr>
          <w:p w14:paraId="205B264B" w14:textId="77777777" w:rsidR="001454B0" w:rsidRPr="001454B0" w:rsidRDefault="001454B0" w:rsidP="001454B0">
            <w:pPr>
              <w:jc w:val="center"/>
              <w:rPr>
                <w:rFonts w:cs="Arial"/>
              </w:rPr>
            </w:pPr>
            <w:r w:rsidRPr="001454B0">
              <w:rPr>
                <w:rFonts w:cs="Arial"/>
              </w:rPr>
              <w:t xml:space="preserve">2022 </w:t>
            </w:r>
          </w:p>
        </w:tc>
        <w:tc>
          <w:tcPr>
            <w:tcW w:w="1564" w:type="dxa"/>
            <w:gridSpan w:val="2"/>
            <w:shd w:val="clear" w:color="auto" w:fill="F2F2F2" w:themeFill="background1" w:themeFillShade="F2"/>
          </w:tcPr>
          <w:p w14:paraId="63D8D799" w14:textId="77777777" w:rsidR="001454B0" w:rsidRPr="001454B0" w:rsidRDefault="001454B0" w:rsidP="001454B0">
            <w:pPr>
              <w:jc w:val="center"/>
              <w:rPr>
                <w:rFonts w:cs="Arial"/>
              </w:rPr>
            </w:pPr>
            <w:r w:rsidRPr="001454B0">
              <w:rPr>
                <w:rFonts w:cs="Arial"/>
              </w:rPr>
              <w:t xml:space="preserve">2023 </w:t>
            </w:r>
          </w:p>
        </w:tc>
        <w:tc>
          <w:tcPr>
            <w:tcW w:w="1479" w:type="dxa"/>
            <w:gridSpan w:val="2"/>
            <w:shd w:val="clear" w:color="auto" w:fill="F2F2F2" w:themeFill="background1" w:themeFillShade="F2"/>
          </w:tcPr>
          <w:p w14:paraId="10D3E5F2" w14:textId="77777777" w:rsidR="001454B0" w:rsidRPr="001454B0" w:rsidRDefault="001454B0" w:rsidP="001454B0">
            <w:pPr>
              <w:jc w:val="center"/>
              <w:rPr>
                <w:rFonts w:cs="Arial"/>
              </w:rPr>
            </w:pPr>
            <w:r w:rsidRPr="001454B0">
              <w:rPr>
                <w:rFonts w:cs="Arial"/>
              </w:rPr>
              <w:t xml:space="preserve">2024 </w:t>
            </w:r>
          </w:p>
        </w:tc>
        <w:tc>
          <w:tcPr>
            <w:tcW w:w="1494" w:type="dxa"/>
            <w:gridSpan w:val="2"/>
            <w:shd w:val="clear" w:color="auto" w:fill="F2F2F2" w:themeFill="background1" w:themeFillShade="F2"/>
          </w:tcPr>
          <w:p w14:paraId="2C2934D4" w14:textId="77777777" w:rsidR="001454B0" w:rsidRPr="001454B0" w:rsidRDefault="001454B0" w:rsidP="001454B0">
            <w:pPr>
              <w:jc w:val="center"/>
              <w:rPr>
                <w:rFonts w:cs="Arial"/>
              </w:rPr>
            </w:pPr>
            <w:r w:rsidRPr="001454B0">
              <w:rPr>
                <w:rFonts w:cs="Arial"/>
              </w:rPr>
              <w:t xml:space="preserve">2025 </w:t>
            </w:r>
          </w:p>
        </w:tc>
      </w:tr>
      <w:tr w:rsidR="001454B0" w:rsidRPr="001454B0" w14:paraId="13520A58" w14:textId="77777777" w:rsidTr="00D30366">
        <w:tc>
          <w:tcPr>
            <w:tcW w:w="1418" w:type="dxa"/>
            <w:tcBorders>
              <w:top w:val="nil"/>
              <w:left w:val="single" w:sz="4" w:space="0" w:color="auto"/>
              <w:bottom w:val="single" w:sz="4" w:space="0" w:color="auto"/>
              <w:right w:val="single" w:sz="4" w:space="0" w:color="auto"/>
            </w:tcBorders>
          </w:tcPr>
          <w:p w14:paraId="7D3BC13C" w14:textId="77777777" w:rsidR="001454B0" w:rsidRPr="001454B0" w:rsidRDefault="001454B0" w:rsidP="001454B0">
            <w:pPr>
              <w:jc w:val="center"/>
              <w:rPr>
                <w:rFonts w:cs="Arial"/>
              </w:rPr>
            </w:pPr>
          </w:p>
        </w:tc>
        <w:tc>
          <w:tcPr>
            <w:tcW w:w="900" w:type="dxa"/>
            <w:tcBorders>
              <w:left w:val="single" w:sz="4" w:space="0" w:color="auto"/>
            </w:tcBorders>
          </w:tcPr>
          <w:p w14:paraId="78712736" w14:textId="77777777" w:rsidR="001454B0" w:rsidRPr="001454B0" w:rsidRDefault="001454B0" w:rsidP="001454B0">
            <w:pPr>
              <w:jc w:val="center"/>
              <w:rPr>
                <w:rFonts w:cs="Arial"/>
              </w:rPr>
            </w:pPr>
            <w:r w:rsidRPr="001454B0">
              <w:rPr>
                <w:rFonts w:cs="Arial"/>
              </w:rPr>
              <w:t>(kton)</w:t>
            </w:r>
          </w:p>
        </w:tc>
        <w:tc>
          <w:tcPr>
            <w:tcW w:w="654" w:type="dxa"/>
            <w:shd w:val="clear" w:color="auto" w:fill="F2F2F2" w:themeFill="background1" w:themeFillShade="F2"/>
          </w:tcPr>
          <w:p w14:paraId="27FA2BBE" w14:textId="77777777" w:rsidR="001454B0" w:rsidRPr="001454B0" w:rsidRDefault="001454B0" w:rsidP="001454B0">
            <w:pPr>
              <w:ind w:hanging="161"/>
              <w:jc w:val="center"/>
              <w:rPr>
                <w:rFonts w:cs="Arial"/>
              </w:rPr>
            </w:pPr>
            <w:r w:rsidRPr="001454B0">
              <w:rPr>
                <w:rFonts w:cs="Arial"/>
              </w:rPr>
              <w:t>(ktoe)</w:t>
            </w:r>
          </w:p>
        </w:tc>
        <w:tc>
          <w:tcPr>
            <w:tcW w:w="900" w:type="dxa"/>
          </w:tcPr>
          <w:p w14:paraId="436CEBDE" w14:textId="77777777" w:rsidR="001454B0" w:rsidRPr="001454B0" w:rsidRDefault="001454B0" w:rsidP="001454B0">
            <w:pPr>
              <w:ind w:hanging="97"/>
              <w:jc w:val="center"/>
              <w:rPr>
                <w:rFonts w:cs="Arial"/>
              </w:rPr>
            </w:pPr>
            <w:r w:rsidRPr="001454B0">
              <w:rPr>
                <w:rFonts w:cs="Arial"/>
              </w:rPr>
              <w:t>(kton)</w:t>
            </w:r>
          </w:p>
        </w:tc>
        <w:tc>
          <w:tcPr>
            <w:tcW w:w="664" w:type="dxa"/>
            <w:shd w:val="clear" w:color="auto" w:fill="F2F2F2" w:themeFill="background1" w:themeFillShade="F2"/>
          </w:tcPr>
          <w:p w14:paraId="44A1874E" w14:textId="77777777" w:rsidR="001454B0" w:rsidRPr="001454B0" w:rsidRDefault="001454B0" w:rsidP="001454B0">
            <w:pPr>
              <w:ind w:hanging="146"/>
              <w:jc w:val="center"/>
              <w:rPr>
                <w:rFonts w:cs="Arial"/>
              </w:rPr>
            </w:pPr>
            <w:r w:rsidRPr="001454B0">
              <w:rPr>
                <w:rFonts w:cs="Arial"/>
              </w:rPr>
              <w:t>(ktoe)</w:t>
            </w:r>
          </w:p>
        </w:tc>
        <w:tc>
          <w:tcPr>
            <w:tcW w:w="791" w:type="dxa"/>
          </w:tcPr>
          <w:p w14:paraId="03D08525" w14:textId="77777777" w:rsidR="001454B0" w:rsidRPr="001454B0" w:rsidRDefault="001454B0" w:rsidP="001454B0">
            <w:pPr>
              <w:jc w:val="center"/>
              <w:rPr>
                <w:rFonts w:cs="Arial"/>
              </w:rPr>
            </w:pPr>
            <w:r w:rsidRPr="001454B0">
              <w:rPr>
                <w:rFonts w:cs="Arial"/>
              </w:rPr>
              <w:t>(kton)</w:t>
            </w:r>
          </w:p>
        </w:tc>
        <w:tc>
          <w:tcPr>
            <w:tcW w:w="688" w:type="dxa"/>
            <w:shd w:val="clear" w:color="auto" w:fill="F2F2F2" w:themeFill="background1" w:themeFillShade="F2"/>
          </w:tcPr>
          <w:p w14:paraId="71908CB1" w14:textId="77777777" w:rsidR="001454B0" w:rsidRPr="001454B0" w:rsidRDefault="001454B0" w:rsidP="001454B0">
            <w:pPr>
              <w:ind w:hanging="184"/>
              <w:jc w:val="center"/>
              <w:rPr>
                <w:rFonts w:cs="Arial"/>
              </w:rPr>
            </w:pPr>
            <w:r w:rsidRPr="001454B0">
              <w:rPr>
                <w:rFonts w:cs="Arial"/>
              </w:rPr>
              <w:t>(ktoe)</w:t>
            </w:r>
          </w:p>
        </w:tc>
        <w:tc>
          <w:tcPr>
            <w:tcW w:w="808" w:type="dxa"/>
          </w:tcPr>
          <w:p w14:paraId="5172619A" w14:textId="77777777" w:rsidR="001454B0" w:rsidRPr="001454B0" w:rsidRDefault="001454B0" w:rsidP="001454B0">
            <w:pPr>
              <w:jc w:val="center"/>
              <w:rPr>
                <w:rFonts w:cs="Arial"/>
              </w:rPr>
            </w:pPr>
            <w:r w:rsidRPr="001454B0">
              <w:rPr>
                <w:rFonts w:cs="Arial"/>
              </w:rPr>
              <w:t>(kton)</w:t>
            </w:r>
          </w:p>
        </w:tc>
        <w:tc>
          <w:tcPr>
            <w:tcW w:w="686" w:type="dxa"/>
            <w:shd w:val="clear" w:color="auto" w:fill="F2F2F2" w:themeFill="background1" w:themeFillShade="F2"/>
          </w:tcPr>
          <w:p w14:paraId="2C17422A" w14:textId="77777777" w:rsidR="001454B0" w:rsidRPr="001454B0" w:rsidRDefault="001454B0" w:rsidP="001454B0">
            <w:pPr>
              <w:ind w:hanging="125"/>
              <w:jc w:val="center"/>
              <w:rPr>
                <w:rFonts w:cs="Arial"/>
              </w:rPr>
            </w:pPr>
            <w:r w:rsidRPr="001454B0">
              <w:rPr>
                <w:rFonts w:cs="Arial"/>
              </w:rPr>
              <w:t>(ktoe)</w:t>
            </w:r>
          </w:p>
        </w:tc>
      </w:tr>
      <w:tr w:rsidR="001454B0" w:rsidRPr="001454B0" w14:paraId="116F2698" w14:textId="77777777" w:rsidTr="00D30366">
        <w:tc>
          <w:tcPr>
            <w:tcW w:w="1418" w:type="dxa"/>
            <w:tcBorders>
              <w:top w:val="single" w:sz="4" w:space="0" w:color="auto"/>
            </w:tcBorders>
            <w:shd w:val="clear" w:color="auto" w:fill="auto"/>
          </w:tcPr>
          <w:p w14:paraId="4D639794" w14:textId="77777777" w:rsidR="001454B0" w:rsidRPr="001454B0" w:rsidRDefault="001454B0" w:rsidP="001454B0">
            <w:pPr>
              <w:rPr>
                <w:rFonts w:cs="Arial"/>
              </w:rPr>
            </w:pPr>
            <w:r w:rsidRPr="001454B0">
              <w:rPr>
                <w:rFonts w:cs="Arial"/>
                <w:bCs/>
              </w:rPr>
              <w:t>daily net import</w:t>
            </w:r>
          </w:p>
        </w:tc>
        <w:tc>
          <w:tcPr>
            <w:tcW w:w="900" w:type="dxa"/>
            <w:shd w:val="clear" w:color="auto" w:fill="auto"/>
          </w:tcPr>
          <w:p w14:paraId="00BAD8CB" w14:textId="77777777" w:rsidR="001454B0" w:rsidRPr="001454B0" w:rsidRDefault="001454B0" w:rsidP="001454B0">
            <w:pPr>
              <w:jc w:val="right"/>
              <w:rPr>
                <w:rFonts w:cs="Arial"/>
              </w:rPr>
            </w:pPr>
            <w:r w:rsidRPr="001454B0">
              <w:rPr>
                <w:rFonts w:cs="Arial"/>
                <w:b/>
                <w:bCs/>
              </w:rPr>
              <w:t>2,7</w:t>
            </w:r>
          </w:p>
        </w:tc>
        <w:tc>
          <w:tcPr>
            <w:tcW w:w="654" w:type="dxa"/>
            <w:shd w:val="clear" w:color="auto" w:fill="auto"/>
          </w:tcPr>
          <w:p w14:paraId="1B1B96ED" w14:textId="77777777" w:rsidR="001454B0" w:rsidRPr="001454B0" w:rsidRDefault="001454B0" w:rsidP="001454B0">
            <w:pPr>
              <w:jc w:val="right"/>
              <w:rPr>
                <w:rFonts w:cs="Arial"/>
              </w:rPr>
            </w:pPr>
            <w:r w:rsidRPr="001454B0">
              <w:rPr>
                <w:rFonts w:cs="Arial"/>
              </w:rPr>
              <w:t>2,9</w:t>
            </w:r>
          </w:p>
        </w:tc>
        <w:tc>
          <w:tcPr>
            <w:tcW w:w="900" w:type="dxa"/>
            <w:shd w:val="clear" w:color="auto" w:fill="auto"/>
          </w:tcPr>
          <w:p w14:paraId="0C79B7E7" w14:textId="77777777" w:rsidR="001454B0" w:rsidRPr="001454B0" w:rsidRDefault="001454B0" w:rsidP="001454B0">
            <w:pPr>
              <w:jc w:val="right"/>
              <w:rPr>
                <w:rFonts w:cs="Arial"/>
              </w:rPr>
            </w:pPr>
            <w:r w:rsidRPr="001454B0">
              <w:rPr>
                <w:rFonts w:cs="Arial"/>
                <w:b/>
                <w:bCs/>
              </w:rPr>
              <w:t>2,7</w:t>
            </w:r>
          </w:p>
        </w:tc>
        <w:tc>
          <w:tcPr>
            <w:tcW w:w="664" w:type="dxa"/>
            <w:shd w:val="clear" w:color="auto" w:fill="auto"/>
          </w:tcPr>
          <w:p w14:paraId="3490C191" w14:textId="77777777" w:rsidR="001454B0" w:rsidRPr="001454B0" w:rsidRDefault="001454B0" w:rsidP="001454B0">
            <w:pPr>
              <w:jc w:val="right"/>
              <w:rPr>
                <w:rFonts w:cs="Arial"/>
              </w:rPr>
            </w:pPr>
            <w:r w:rsidRPr="001454B0">
              <w:rPr>
                <w:rFonts w:cs="Arial"/>
              </w:rPr>
              <w:t>2,9</w:t>
            </w:r>
          </w:p>
        </w:tc>
        <w:tc>
          <w:tcPr>
            <w:tcW w:w="791" w:type="dxa"/>
            <w:shd w:val="clear" w:color="auto" w:fill="auto"/>
          </w:tcPr>
          <w:p w14:paraId="305EB30D" w14:textId="77777777" w:rsidR="001454B0" w:rsidRPr="001454B0" w:rsidRDefault="001454B0" w:rsidP="001454B0">
            <w:pPr>
              <w:jc w:val="right"/>
              <w:rPr>
                <w:rFonts w:cs="Arial"/>
              </w:rPr>
            </w:pPr>
            <w:r w:rsidRPr="001454B0">
              <w:rPr>
                <w:rFonts w:cs="Arial"/>
                <w:b/>
                <w:bCs/>
              </w:rPr>
              <w:t>2,8</w:t>
            </w:r>
          </w:p>
        </w:tc>
        <w:tc>
          <w:tcPr>
            <w:tcW w:w="688" w:type="dxa"/>
            <w:shd w:val="clear" w:color="auto" w:fill="auto"/>
          </w:tcPr>
          <w:p w14:paraId="3C07D3F9" w14:textId="77777777" w:rsidR="001454B0" w:rsidRPr="001454B0" w:rsidRDefault="001454B0" w:rsidP="001454B0">
            <w:pPr>
              <w:jc w:val="right"/>
              <w:rPr>
                <w:rFonts w:cs="Arial"/>
              </w:rPr>
            </w:pPr>
            <w:r w:rsidRPr="001454B0">
              <w:rPr>
                <w:rFonts w:cs="Arial"/>
              </w:rPr>
              <w:t>2,9</w:t>
            </w:r>
          </w:p>
        </w:tc>
        <w:tc>
          <w:tcPr>
            <w:tcW w:w="808" w:type="dxa"/>
            <w:shd w:val="clear" w:color="auto" w:fill="auto"/>
          </w:tcPr>
          <w:p w14:paraId="135BDC47" w14:textId="77777777" w:rsidR="001454B0" w:rsidRPr="001454B0" w:rsidRDefault="001454B0" w:rsidP="001454B0">
            <w:pPr>
              <w:jc w:val="right"/>
              <w:rPr>
                <w:rFonts w:cs="Arial"/>
              </w:rPr>
            </w:pPr>
            <w:r w:rsidRPr="001454B0">
              <w:rPr>
                <w:rFonts w:cs="Arial"/>
                <w:b/>
                <w:bCs/>
              </w:rPr>
              <w:t>2,8</w:t>
            </w:r>
          </w:p>
        </w:tc>
        <w:tc>
          <w:tcPr>
            <w:tcW w:w="686" w:type="dxa"/>
            <w:shd w:val="clear" w:color="auto" w:fill="auto"/>
          </w:tcPr>
          <w:p w14:paraId="461E3F4C" w14:textId="77777777" w:rsidR="001454B0" w:rsidRPr="001454B0" w:rsidRDefault="001454B0" w:rsidP="001454B0">
            <w:pPr>
              <w:jc w:val="right"/>
              <w:rPr>
                <w:rFonts w:cs="Arial"/>
              </w:rPr>
            </w:pPr>
            <w:r w:rsidRPr="001454B0">
              <w:rPr>
                <w:rFonts w:cs="Arial"/>
              </w:rPr>
              <w:t>3,0</w:t>
            </w:r>
          </w:p>
        </w:tc>
      </w:tr>
      <w:tr w:rsidR="001454B0" w:rsidRPr="001454B0" w14:paraId="51CEF281" w14:textId="77777777" w:rsidTr="00D30366">
        <w:tc>
          <w:tcPr>
            <w:tcW w:w="1418" w:type="dxa"/>
          </w:tcPr>
          <w:p w14:paraId="702862D8" w14:textId="77777777" w:rsidR="001454B0" w:rsidRPr="001454B0" w:rsidRDefault="001454B0" w:rsidP="001454B0">
            <w:pPr>
              <w:rPr>
                <w:rFonts w:cs="Arial"/>
              </w:rPr>
            </w:pPr>
            <w:r w:rsidRPr="001454B0">
              <w:rPr>
                <w:rFonts w:cs="Arial"/>
                <w:bCs/>
              </w:rPr>
              <w:t>daily consumption</w:t>
            </w:r>
          </w:p>
        </w:tc>
        <w:tc>
          <w:tcPr>
            <w:tcW w:w="900" w:type="dxa"/>
          </w:tcPr>
          <w:p w14:paraId="5864D933" w14:textId="77777777" w:rsidR="001454B0" w:rsidRPr="001454B0" w:rsidRDefault="001454B0" w:rsidP="001454B0">
            <w:pPr>
              <w:jc w:val="right"/>
              <w:rPr>
                <w:rFonts w:cs="Arial"/>
              </w:rPr>
            </w:pPr>
            <w:r w:rsidRPr="001454B0">
              <w:rPr>
                <w:rFonts w:cs="Arial"/>
                <w:b/>
                <w:bCs/>
              </w:rPr>
              <w:t>2,2</w:t>
            </w:r>
          </w:p>
        </w:tc>
        <w:tc>
          <w:tcPr>
            <w:tcW w:w="654" w:type="dxa"/>
            <w:shd w:val="clear" w:color="auto" w:fill="F2F2F2" w:themeFill="background1" w:themeFillShade="F2"/>
          </w:tcPr>
          <w:p w14:paraId="2FED668D" w14:textId="77777777" w:rsidR="001454B0" w:rsidRPr="001454B0" w:rsidRDefault="001454B0" w:rsidP="001454B0">
            <w:pPr>
              <w:jc w:val="right"/>
              <w:rPr>
                <w:rFonts w:cs="Arial"/>
              </w:rPr>
            </w:pPr>
            <w:r w:rsidRPr="001454B0">
              <w:rPr>
                <w:rFonts w:cs="Arial"/>
              </w:rPr>
              <w:t>2,7</w:t>
            </w:r>
          </w:p>
        </w:tc>
        <w:tc>
          <w:tcPr>
            <w:tcW w:w="900" w:type="dxa"/>
          </w:tcPr>
          <w:p w14:paraId="4183EDB7" w14:textId="77777777" w:rsidR="001454B0" w:rsidRPr="001454B0" w:rsidRDefault="001454B0" w:rsidP="001454B0">
            <w:pPr>
              <w:jc w:val="right"/>
              <w:rPr>
                <w:rFonts w:cs="Arial"/>
              </w:rPr>
            </w:pPr>
            <w:r w:rsidRPr="001454B0">
              <w:rPr>
                <w:rFonts w:cs="Arial"/>
                <w:b/>
                <w:bCs/>
              </w:rPr>
              <w:t>2,3</w:t>
            </w:r>
          </w:p>
        </w:tc>
        <w:tc>
          <w:tcPr>
            <w:tcW w:w="664" w:type="dxa"/>
            <w:shd w:val="clear" w:color="auto" w:fill="F2F2F2" w:themeFill="background1" w:themeFillShade="F2"/>
          </w:tcPr>
          <w:p w14:paraId="7D434BAF" w14:textId="77777777" w:rsidR="001454B0" w:rsidRPr="001454B0" w:rsidRDefault="001454B0" w:rsidP="001454B0">
            <w:pPr>
              <w:jc w:val="right"/>
              <w:rPr>
                <w:rFonts w:cs="Arial"/>
              </w:rPr>
            </w:pPr>
            <w:r w:rsidRPr="001454B0">
              <w:rPr>
                <w:rFonts w:cs="Arial"/>
              </w:rPr>
              <w:t>2,7</w:t>
            </w:r>
          </w:p>
        </w:tc>
        <w:tc>
          <w:tcPr>
            <w:tcW w:w="791" w:type="dxa"/>
          </w:tcPr>
          <w:p w14:paraId="19BB8059" w14:textId="77777777" w:rsidR="001454B0" w:rsidRPr="001454B0" w:rsidRDefault="001454B0" w:rsidP="001454B0">
            <w:pPr>
              <w:jc w:val="right"/>
              <w:rPr>
                <w:rFonts w:cs="Arial"/>
              </w:rPr>
            </w:pPr>
            <w:r w:rsidRPr="001454B0">
              <w:rPr>
                <w:rFonts w:cs="Arial"/>
                <w:b/>
                <w:bCs/>
              </w:rPr>
              <w:t>2,3</w:t>
            </w:r>
          </w:p>
        </w:tc>
        <w:tc>
          <w:tcPr>
            <w:tcW w:w="688" w:type="dxa"/>
            <w:shd w:val="clear" w:color="auto" w:fill="F2F2F2" w:themeFill="background1" w:themeFillShade="F2"/>
          </w:tcPr>
          <w:p w14:paraId="49378EE7" w14:textId="77777777" w:rsidR="001454B0" w:rsidRPr="001454B0" w:rsidRDefault="001454B0" w:rsidP="001454B0">
            <w:pPr>
              <w:jc w:val="right"/>
              <w:rPr>
                <w:rFonts w:cs="Arial"/>
              </w:rPr>
            </w:pPr>
            <w:r w:rsidRPr="001454B0">
              <w:rPr>
                <w:rFonts w:cs="Arial"/>
              </w:rPr>
              <w:t>2,7</w:t>
            </w:r>
          </w:p>
        </w:tc>
        <w:tc>
          <w:tcPr>
            <w:tcW w:w="808" w:type="dxa"/>
          </w:tcPr>
          <w:p w14:paraId="73721313" w14:textId="77777777" w:rsidR="001454B0" w:rsidRPr="001454B0" w:rsidRDefault="001454B0" w:rsidP="001454B0">
            <w:pPr>
              <w:jc w:val="right"/>
              <w:rPr>
                <w:rFonts w:cs="Arial"/>
              </w:rPr>
            </w:pPr>
            <w:r w:rsidRPr="001454B0">
              <w:rPr>
                <w:rFonts w:cs="Arial"/>
                <w:b/>
                <w:bCs/>
              </w:rPr>
              <w:t>2,3</w:t>
            </w:r>
          </w:p>
        </w:tc>
        <w:tc>
          <w:tcPr>
            <w:tcW w:w="686" w:type="dxa"/>
            <w:shd w:val="clear" w:color="auto" w:fill="F2F2F2" w:themeFill="background1" w:themeFillShade="F2"/>
          </w:tcPr>
          <w:p w14:paraId="7A52B3F7" w14:textId="77777777" w:rsidR="001454B0" w:rsidRPr="001454B0" w:rsidRDefault="001454B0" w:rsidP="001454B0">
            <w:pPr>
              <w:jc w:val="right"/>
              <w:rPr>
                <w:rFonts w:cs="Arial"/>
              </w:rPr>
            </w:pPr>
            <w:r w:rsidRPr="001454B0">
              <w:rPr>
                <w:rFonts w:cs="Arial"/>
              </w:rPr>
              <w:t>2,8</w:t>
            </w:r>
          </w:p>
        </w:tc>
      </w:tr>
    </w:tbl>
    <w:p w14:paraId="0B3A2EBC" w14:textId="77777777" w:rsidR="001454B0" w:rsidRPr="001454B0" w:rsidRDefault="001454B0" w:rsidP="001454B0">
      <w:pPr>
        <w:ind w:left="720"/>
        <w:jc w:val="both"/>
        <w:rPr>
          <w:rFonts w:ascii="Arial" w:hAnsi="Arial" w:cs="Arial"/>
        </w:rPr>
      </w:pPr>
      <w:r w:rsidRPr="001454B0">
        <w:rPr>
          <w:rFonts w:ascii="Arial" w:hAnsi="Arial" w:cs="Arial"/>
        </w:rPr>
        <w:t xml:space="preserve"> </w:t>
      </w:r>
    </w:p>
    <w:p w14:paraId="521F9D0A" w14:textId="77777777" w:rsidR="001454B0" w:rsidRPr="001454B0" w:rsidRDefault="001454B0" w:rsidP="001454B0">
      <w:pPr>
        <w:ind w:left="720"/>
        <w:jc w:val="both"/>
        <w:rPr>
          <w:rFonts w:ascii="Arial" w:hAnsi="Arial" w:cs="Arial"/>
        </w:rPr>
      </w:pPr>
    </w:p>
    <w:p w14:paraId="21D8720F" w14:textId="77777777" w:rsidR="001454B0" w:rsidRPr="001454B0" w:rsidRDefault="001454B0" w:rsidP="001454B0">
      <w:pPr>
        <w:pStyle w:val="Default"/>
        <w:ind w:right="-22" w:firstLine="720"/>
        <w:jc w:val="both"/>
        <w:rPr>
          <w:rFonts w:ascii="Arial" w:hAnsi="Arial" w:cs="Arial"/>
          <w:sz w:val="22"/>
          <w:szCs w:val="22"/>
          <w:lang w:val="en-US"/>
        </w:rPr>
      </w:pPr>
      <w:r w:rsidRPr="001454B0">
        <w:rPr>
          <w:rFonts w:ascii="Arial" w:hAnsi="Arial" w:cs="Arial"/>
          <w:sz w:val="22"/>
          <w:szCs w:val="22"/>
          <w:lang w:val="en-US"/>
        </w:rPr>
        <w:t>According to the data from table 3, in Macedonia the daily net imports of oil derivatives are greater than the daily internal consumption, and based on Article 5 of the Low on compulsory oil reserves, it is determined that the level of compulsory oil reserves in the Macedonia will be calculated based on the daily net imports of oil derivatives, that is, the level of oil reserves will amount to at least 90 days of daily net imports of oil derivatives in the previous calendar year.</w:t>
      </w:r>
    </w:p>
    <w:p w14:paraId="079C72BC" w14:textId="77777777" w:rsidR="001454B0" w:rsidRPr="001454B0" w:rsidRDefault="001454B0" w:rsidP="001454B0">
      <w:pPr>
        <w:pStyle w:val="Default"/>
        <w:ind w:right="-22" w:firstLine="720"/>
        <w:jc w:val="both"/>
        <w:rPr>
          <w:rFonts w:ascii="Arial" w:hAnsi="Arial" w:cs="Arial"/>
          <w:sz w:val="22"/>
          <w:szCs w:val="22"/>
          <w:lang w:val="en-US"/>
        </w:rPr>
      </w:pPr>
      <w:r w:rsidRPr="001454B0">
        <w:rPr>
          <w:rFonts w:ascii="Arial" w:hAnsi="Arial" w:cs="Arial"/>
          <w:sz w:val="22"/>
          <w:szCs w:val="22"/>
          <w:lang w:val="en-US"/>
        </w:rPr>
        <w:t>The Action plan for the establishment of compulsory reserves provides a framework regulation of the dynamics of the formation of compulsory reserves expressed in days of crude oil and/or oil derivatives coverage, the dynamics and the manner of replenishment of the compulsory reserves, arrangement of the storage and territorial distribution of the compulsory reserves, as well as the need and the methods of the investments towards the renewal of the existing and the construction of new storage capacities. The action plan for the period 2023-2025 is in force, according to which the expected days of coverage on 31.12.2025 should amount to 76 days of the average daily net import in 2022, and the quantities of oil derivatives that remain to be procured, in order to fill the anticipated 90 days, are expected to be purchased in tickets during 2025</w:t>
      </w:r>
      <w:r w:rsidRPr="001454B0">
        <w:rPr>
          <w:rStyle w:val="FootnoteReference"/>
          <w:rFonts w:ascii="Arial" w:hAnsi="Arial" w:cs="Arial"/>
          <w:sz w:val="22"/>
          <w:szCs w:val="22"/>
        </w:rPr>
        <w:footnoteReference w:id="6"/>
      </w:r>
      <w:r w:rsidRPr="001454B0">
        <w:rPr>
          <w:rFonts w:ascii="Arial" w:hAnsi="Arial" w:cs="Arial"/>
          <w:sz w:val="22"/>
          <w:szCs w:val="22"/>
        </w:rPr>
        <w:t>.</w:t>
      </w:r>
    </w:p>
    <w:p w14:paraId="17EA3C23" w14:textId="77777777" w:rsidR="001454B0" w:rsidRPr="001454B0" w:rsidRDefault="001454B0" w:rsidP="001454B0">
      <w:pPr>
        <w:autoSpaceDE w:val="0"/>
        <w:autoSpaceDN w:val="0"/>
        <w:adjustRightInd w:val="0"/>
        <w:spacing w:before="120"/>
        <w:ind w:firstLine="720"/>
        <w:jc w:val="both"/>
        <w:rPr>
          <w:rFonts w:ascii="Arial" w:hAnsi="Arial" w:cs="Arial"/>
        </w:rPr>
      </w:pPr>
      <w:r w:rsidRPr="001454B0">
        <w:rPr>
          <w:rFonts w:ascii="Arial" w:hAnsi="Arial" w:cs="Arial"/>
        </w:rPr>
        <w:t xml:space="preserve">Compulsory reserves are composed of those oil derivatives whose common share in the total domestic consumption in the previous calendar year is at least 75%. The share of oil </w:t>
      </w:r>
      <w:r w:rsidRPr="001454B0">
        <w:rPr>
          <w:rFonts w:ascii="Arial" w:hAnsi="Arial" w:cs="Arial"/>
        </w:rPr>
        <w:lastRenderedPageBreak/>
        <w:t>derivatives in the total amount of compulsory reserves is determined based on the individual shares in the total domestic consumption in the previous calendar year.</w:t>
      </w:r>
    </w:p>
    <w:p w14:paraId="1011DA24" w14:textId="77777777" w:rsidR="001454B0" w:rsidRPr="001454B0" w:rsidRDefault="001454B0" w:rsidP="001454B0">
      <w:pPr>
        <w:pStyle w:val="Default"/>
        <w:ind w:right="-22" w:firstLine="720"/>
        <w:jc w:val="both"/>
        <w:rPr>
          <w:rFonts w:ascii="Arial" w:hAnsi="Arial" w:cs="Arial"/>
          <w:sz w:val="22"/>
          <w:szCs w:val="22"/>
          <w:lang w:val="en-US"/>
        </w:rPr>
      </w:pPr>
      <w:r w:rsidRPr="001454B0">
        <w:rPr>
          <w:rFonts w:ascii="Arial" w:hAnsi="Arial" w:cs="Arial"/>
          <w:sz w:val="22"/>
          <w:szCs w:val="22"/>
          <w:lang w:val="en-US"/>
        </w:rPr>
        <w:t>Compulsory reserves that are kept in the form of finished products are composed of one or more types of oil derivatives classified in the following categories:</w:t>
      </w:r>
    </w:p>
    <w:p w14:paraId="17EA5F3D" w14:textId="77777777" w:rsidR="001454B0" w:rsidRPr="001454B0" w:rsidRDefault="001454B0" w:rsidP="001454B0">
      <w:pPr>
        <w:pStyle w:val="Default"/>
        <w:ind w:right="-22" w:firstLine="720"/>
        <w:jc w:val="both"/>
        <w:rPr>
          <w:rFonts w:ascii="Arial" w:hAnsi="Arial" w:cs="Arial"/>
          <w:sz w:val="22"/>
          <w:szCs w:val="22"/>
          <w:lang w:val="en-US"/>
        </w:rPr>
      </w:pPr>
      <w:r w:rsidRPr="001454B0">
        <w:rPr>
          <w:rFonts w:ascii="Arial" w:hAnsi="Arial" w:cs="Arial"/>
          <w:sz w:val="22"/>
          <w:szCs w:val="22"/>
          <w:lang w:val="en-US"/>
        </w:rPr>
        <w:t xml:space="preserve">- light distillates or light oil derivatives (liquid petroleum gases LPG-butane, propane and a mixture of butane and propane, all types of </w:t>
      </w:r>
      <w:bookmarkStart w:id="0" w:name="_Hlk172796353"/>
      <w:r w:rsidRPr="001454B0">
        <w:rPr>
          <w:rFonts w:ascii="Arial" w:hAnsi="Arial" w:cs="Arial"/>
          <w:sz w:val="22"/>
          <w:szCs w:val="22"/>
          <w:lang w:val="en-US"/>
        </w:rPr>
        <w:t xml:space="preserve">motor gasoline </w:t>
      </w:r>
      <w:bookmarkEnd w:id="0"/>
      <w:r w:rsidRPr="001454B0">
        <w:rPr>
          <w:rFonts w:ascii="Arial" w:hAnsi="Arial" w:cs="Arial"/>
          <w:sz w:val="22"/>
          <w:szCs w:val="22"/>
          <w:lang w:val="en-US"/>
        </w:rPr>
        <w:t>and aviation gasoline),</w:t>
      </w:r>
    </w:p>
    <w:p w14:paraId="15545791" w14:textId="77777777" w:rsidR="001454B0" w:rsidRPr="001454B0" w:rsidRDefault="001454B0" w:rsidP="001454B0">
      <w:pPr>
        <w:pStyle w:val="Default"/>
        <w:ind w:right="-22" w:firstLine="720"/>
        <w:jc w:val="both"/>
        <w:rPr>
          <w:rFonts w:ascii="Arial" w:hAnsi="Arial" w:cs="Arial"/>
          <w:sz w:val="22"/>
          <w:szCs w:val="22"/>
          <w:lang w:val="en-US"/>
        </w:rPr>
      </w:pPr>
    </w:p>
    <w:p w14:paraId="5FB01630" w14:textId="77777777" w:rsidR="001454B0" w:rsidRPr="001454B0" w:rsidRDefault="001454B0" w:rsidP="001454B0">
      <w:pPr>
        <w:pStyle w:val="Default"/>
        <w:ind w:right="-22" w:firstLine="720"/>
        <w:jc w:val="both"/>
        <w:rPr>
          <w:rFonts w:ascii="Arial" w:hAnsi="Arial" w:cs="Arial"/>
          <w:sz w:val="22"/>
          <w:szCs w:val="22"/>
          <w:lang w:val="en-US"/>
        </w:rPr>
      </w:pPr>
      <w:r w:rsidRPr="001454B0">
        <w:rPr>
          <w:rFonts w:ascii="Arial" w:hAnsi="Arial" w:cs="Arial"/>
          <w:sz w:val="22"/>
          <w:szCs w:val="22"/>
          <w:lang w:val="en-US"/>
        </w:rPr>
        <w:t>- middle distillates or middle oil derivatives (all types of diesels for cars, gas oil or Extra Light 1 (EL-1) and kerosene) and</w:t>
      </w:r>
    </w:p>
    <w:p w14:paraId="01501857" w14:textId="77777777" w:rsidR="001454B0" w:rsidRPr="001454B0" w:rsidRDefault="001454B0" w:rsidP="001454B0">
      <w:pPr>
        <w:pStyle w:val="Default"/>
        <w:ind w:right="-22" w:firstLine="720"/>
        <w:jc w:val="both"/>
        <w:rPr>
          <w:rFonts w:ascii="Arial" w:hAnsi="Arial" w:cs="Arial"/>
          <w:sz w:val="22"/>
          <w:szCs w:val="22"/>
          <w:lang w:val="en-US"/>
        </w:rPr>
      </w:pPr>
      <w:r w:rsidRPr="001454B0">
        <w:rPr>
          <w:rFonts w:ascii="Arial" w:hAnsi="Arial" w:cs="Arial"/>
          <w:sz w:val="22"/>
          <w:szCs w:val="22"/>
          <w:lang w:val="en-US"/>
        </w:rPr>
        <w:t>- heavy distillates or heavy oil derivatives (all types of fuel oil) and others (bitumen and petroleum coke).</w:t>
      </w:r>
    </w:p>
    <w:p w14:paraId="78C28078" w14:textId="77777777" w:rsidR="001454B0" w:rsidRPr="001454B0" w:rsidRDefault="001454B0" w:rsidP="001454B0">
      <w:pPr>
        <w:pStyle w:val="Default"/>
        <w:ind w:right="-22" w:firstLine="720"/>
        <w:jc w:val="both"/>
        <w:rPr>
          <w:rFonts w:ascii="Arial" w:hAnsi="Arial" w:cs="Arial"/>
          <w:sz w:val="22"/>
          <w:szCs w:val="22"/>
        </w:rPr>
      </w:pPr>
      <w:r w:rsidRPr="001454B0">
        <w:rPr>
          <w:rFonts w:ascii="Arial" w:hAnsi="Arial" w:cs="Arial"/>
          <w:sz w:val="22"/>
          <w:szCs w:val="22"/>
        </w:rPr>
        <w:t xml:space="preserve">Motor biofuels, as well as additives, are taken into account when calculating the actual quantities of the </w:t>
      </w:r>
      <w:r w:rsidRPr="001454B0">
        <w:rPr>
          <w:rFonts w:ascii="Arial" w:hAnsi="Arial" w:cs="Arial"/>
          <w:sz w:val="22"/>
          <w:szCs w:val="22"/>
          <w:lang w:val="en-US"/>
        </w:rPr>
        <w:t>compulsory</w:t>
      </w:r>
      <w:r w:rsidRPr="001454B0">
        <w:rPr>
          <w:rFonts w:ascii="Arial" w:hAnsi="Arial" w:cs="Arial"/>
          <w:sz w:val="22"/>
          <w:szCs w:val="22"/>
        </w:rPr>
        <w:t xml:space="preserve"> reserves that are kept if they are mixed in the specific </w:t>
      </w:r>
      <w:r w:rsidRPr="001454B0">
        <w:rPr>
          <w:rFonts w:ascii="Arial" w:hAnsi="Arial" w:cs="Arial"/>
          <w:sz w:val="22"/>
          <w:szCs w:val="22"/>
          <w:lang w:val="en-US"/>
        </w:rPr>
        <w:t>oil derivatives</w:t>
      </w:r>
      <w:r w:rsidRPr="001454B0">
        <w:rPr>
          <w:rFonts w:ascii="Arial" w:hAnsi="Arial" w:cs="Arial"/>
          <w:sz w:val="22"/>
          <w:szCs w:val="22"/>
        </w:rPr>
        <w:t xml:space="preserve"> according to the technical specifications. Compulsory Oil Reserves Agency in order to fulfill the obligation to </w:t>
      </w:r>
      <w:r w:rsidRPr="001454B0">
        <w:rPr>
          <w:rFonts w:ascii="Arial" w:hAnsi="Arial" w:cs="Arial"/>
          <w:sz w:val="22"/>
          <w:szCs w:val="22"/>
          <w:lang w:val="en-US"/>
        </w:rPr>
        <w:t xml:space="preserve">establish </w:t>
      </w:r>
      <w:r w:rsidRPr="001454B0">
        <w:rPr>
          <w:rFonts w:ascii="Arial" w:hAnsi="Arial" w:cs="Arial"/>
          <w:sz w:val="22"/>
          <w:szCs w:val="22"/>
        </w:rPr>
        <w:t>compulsory reserves, can conclude tickets with which third parties commit themselves for a certain price to reserve certain quantities of crude oil and/or oil derivatives according to predetermined criteria in a certain period of time</w:t>
      </w:r>
      <w:r w:rsidRPr="001454B0">
        <w:rPr>
          <w:rFonts w:ascii="Arial" w:hAnsi="Arial" w:cs="Arial"/>
          <w:sz w:val="22"/>
          <w:szCs w:val="22"/>
          <w:lang w:val="en-US"/>
        </w:rPr>
        <w:t>. T</w:t>
      </w:r>
      <w:r w:rsidRPr="001454B0">
        <w:rPr>
          <w:rFonts w:ascii="Arial" w:hAnsi="Arial" w:cs="Arial"/>
          <w:sz w:val="22"/>
          <w:szCs w:val="22"/>
        </w:rPr>
        <w:t>he Agency has not concluded contracts for tickets</w:t>
      </w:r>
      <w:r w:rsidRPr="001454B0">
        <w:rPr>
          <w:rFonts w:ascii="Arial" w:hAnsi="Arial" w:cs="Arial"/>
          <w:sz w:val="22"/>
          <w:szCs w:val="22"/>
          <w:lang w:val="en-US"/>
        </w:rPr>
        <w:t xml:space="preserve"> i</w:t>
      </w:r>
      <w:r w:rsidRPr="001454B0">
        <w:rPr>
          <w:rFonts w:ascii="Arial" w:hAnsi="Arial" w:cs="Arial"/>
          <w:sz w:val="22"/>
          <w:szCs w:val="22"/>
        </w:rPr>
        <w:t>n the entire period from its establishment until today.</w:t>
      </w:r>
    </w:p>
    <w:p w14:paraId="58C764A5" w14:textId="77777777" w:rsidR="001454B0" w:rsidRPr="001454B0" w:rsidRDefault="001454B0" w:rsidP="001454B0">
      <w:pPr>
        <w:pStyle w:val="Default"/>
        <w:ind w:left="283" w:right="369" w:firstLine="437"/>
        <w:jc w:val="both"/>
        <w:rPr>
          <w:rFonts w:ascii="Arial" w:hAnsi="Arial" w:cs="Arial"/>
          <w:sz w:val="22"/>
          <w:szCs w:val="22"/>
        </w:rPr>
      </w:pPr>
    </w:p>
    <w:p w14:paraId="746CE647" w14:textId="77777777" w:rsidR="001454B0" w:rsidRPr="001454B0" w:rsidRDefault="001454B0" w:rsidP="001454B0">
      <w:pPr>
        <w:pStyle w:val="Default"/>
        <w:ind w:left="283" w:right="369" w:firstLine="437"/>
        <w:jc w:val="both"/>
        <w:rPr>
          <w:rFonts w:ascii="Arial" w:hAnsi="Arial" w:cs="Arial"/>
          <w:sz w:val="22"/>
          <w:szCs w:val="22"/>
        </w:rPr>
      </w:pPr>
    </w:p>
    <w:p w14:paraId="10CB37EB" w14:textId="77777777" w:rsidR="001454B0" w:rsidRPr="001454B0" w:rsidRDefault="001454B0" w:rsidP="001454B0">
      <w:pPr>
        <w:spacing w:after="120"/>
        <w:ind w:left="284" w:right="-164" w:hanging="142"/>
        <w:jc w:val="both"/>
        <w:rPr>
          <w:rFonts w:ascii="Arial" w:hAnsi="Arial" w:cs="Arial"/>
          <w:bCs/>
          <w:noProof/>
          <w:lang w:eastAsia="mk-MK"/>
        </w:rPr>
      </w:pPr>
      <w:r w:rsidRPr="001454B0">
        <w:rPr>
          <w:rFonts w:ascii="Arial" w:hAnsi="Arial" w:cs="Arial"/>
          <w:bCs/>
          <w:noProof/>
          <w:lang w:eastAsia="mk-MK"/>
        </w:rPr>
        <w:t>Chart No. 2 Structure of the consumption of oil derivatives in the period 2020-2022</w:t>
      </w:r>
    </w:p>
    <w:p w14:paraId="5F2CEB3D" w14:textId="77777777" w:rsidR="001454B0" w:rsidRPr="001454B0" w:rsidRDefault="001454B0" w:rsidP="001454B0">
      <w:pPr>
        <w:spacing w:after="120"/>
        <w:ind w:left="284" w:hanging="284"/>
        <w:jc w:val="both"/>
        <w:rPr>
          <w:rFonts w:ascii="Arial" w:hAnsi="Arial" w:cs="Arial"/>
          <w:noProof/>
          <w:lang w:eastAsia="mk-MK"/>
        </w:rPr>
      </w:pPr>
      <w:r w:rsidRPr="001454B0">
        <w:rPr>
          <w:rFonts w:ascii="Arial" w:hAnsi="Arial" w:cs="Arial"/>
          <w:noProof/>
          <w:lang w:eastAsia="mk-MK"/>
        </w:rPr>
        <w:drawing>
          <wp:inline distT="0" distB="0" distL="0" distR="0" wp14:anchorId="4F40A5B8" wp14:editId="7E225417">
            <wp:extent cx="4772025" cy="20574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497E31" w14:textId="77777777" w:rsidR="001454B0" w:rsidRPr="001454B0" w:rsidRDefault="001454B0" w:rsidP="001454B0">
      <w:pPr>
        <w:jc w:val="both"/>
        <w:rPr>
          <w:rFonts w:ascii="Arial" w:hAnsi="Arial" w:cs="Arial"/>
        </w:rPr>
      </w:pPr>
    </w:p>
    <w:p w14:paraId="737B0161" w14:textId="77777777" w:rsidR="001454B0" w:rsidRPr="001454B0" w:rsidRDefault="001454B0" w:rsidP="001454B0">
      <w:pPr>
        <w:pStyle w:val="Default"/>
        <w:ind w:right="-22"/>
        <w:rPr>
          <w:rFonts w:ascii="Arial" w:hAnsi="Arial" w:cs="Arial"/>
          <w:i/>
          <w:sz w:val="22"/>
          <w:szCs w:val="22"/>
        </w:rPr>
      </w:pPr>
      <w:r w:rsidRPr="001454B0">
        <w:rPr>
          <w:rFonts w:ascii="Arial" w:hAnsi="Arial" w:cs="Arial"/>
          <w:i/>
          <w:sz w:val="22"/>
          <w:szCs w:val="22"/>
          <w:lang w:val="en-US"/>
        </w:rPr>
        <w:t>Source</w:t>
      </w:r>
      <w:r w:rsidRPr="001454B0">
        <w:rPr>
          <w:rFonts w:ascii="Arial" w:hAnsi="Arial" w:cs="Arial"/>
          <w:i/>
          <w:sz w:val="22"/>
          <w:szCs w:val="22"/>
        </w:rPr>
        <w:t xml:space="preserve">: </w:t>
      </w:r>
      <w:r w:rsidRPr="001454B0">
        <w:rPr>
          <w:rFonts w:ascii="Arial" w:hAnsi="Arial" w:cs="Arial"/>
          <w:i/>
          <w:iCs/>
          <w:sz w:val="22"/>
          <w:szCs w:val="22"/>
        </w:rPr>
        <w:t>Action plan for the establishment of compulsory reserves</w:t>
      </w:r>
      <w:r w:rsidRPr="001454B0">
        <w:rPr>
          <w:rFonts w:ascii="Arial" w:hAnsi="Arial" w:cs="Arial"/>
          <w:sz w:val="22"/>
          <w:szCs w:val="22"/>
          <w:lang w:val="en-US"/>
        </w:rPr>
        <w:t xml:space="preserve"> </w:t>
      </w:r>
      <w:r w:rsidRPr="001454B0">
        <w:rPr>
          <w:rFonts w:ascii="Arial" w:hAnsi="Arial" w:cs="Arial"/>
          <w:i/>
          <w:iCs/>
          <w:sz w:val="22"/>
          <w:szCs w:val="22"/>
        </w:rPr>
        <w:t>2023-2025</w:t>
      </w:r>
      <w:r w:rsidRPr="001454B0">
        <w:rPr>
          <w:rFonts w:ascii="Arial" w:hAnsi="Arial" w:cs="Arial"/>
          <w:i/>
          <w:sz w:val="22"/>
          <w:szCs w:val="22"/>
        </w:rPr>
        <w:t xml:space="preserve">, </w:t>
      </w:r>
      <w:r w:rsidRPr="001454B0">
        <w:rPr>
          <w:rFonts w:ascii="Arial" w:hAnsi="Arial" w:cs="Arial"/>
          <w:i/>
          <w:iCs/>
          <w:color w:val="auto"/>
          <w:sz w:val="22"/>
          <w:szCs w:val="22"/>
          <w:lang w:val="en-US"/>
        </w:rPr>
        <w:t>Official Gazette</w:t>
      </w:r>
      <w:r w:rsidRPr="001454B0">
        <w:rPr>
          <w:rFonts w:ascii="Arial" w:hAnsi="Arial" w:cs="Arial"/>
          <w:i/>
          <w:iCs/>
          <w:sz w:val="22"/>
          <w:szCs w:val="22"/>
          <w:lang w:val="en-US"/>
        </w:rPr>
        <w:t xml:space="preserve"> </w:t>
      </w:r>
      <w:r w:rsidRPr="001454B0">
        <w:rPr>
          <w:rFonts w:ascii="Arial" w:hAnsi="Arial" w:cs="Arial"/>
          <w:i/>
          <w:iCs/>
          <w:sz w:val="22"/>
          <w:szCs w:val="22"/>
        </w:rPr>
        <w:t xml:space="preserve"> </w:t>
      </w:r>
      <w:r w:rsidRPr="001454B0">
        <w:rPr>
          <w:rFonts w:ascii="Arial" w:hAnsi="Arial" w:cs="Arial"/>
          <w:i/>
          <w:iCs/>
          <w:color w:val="auto"/>
          <w:sz w:val="22"/>
          <w:szCs w:val="22"/>
          <w:lang w:val="en-US"/>
        </w:rPr>
        <w:t xml:space="preserve">of the Republic of </w:t>
      </w:r>
      <w:r w:rsidRPr="001454B0">
        <w:rPr>
          <w:rFonts w:ascii="Arial" w:hAnsi="Arial" w:cs="Arial"/>
          <w:i/>
          <w:iCs/>
          <w:sz w:val="22"/>
          <w:szCs w:val="22"/>
          <w:lang w:val="en-US"/>
        </w:rPr>
        <w:t xml:space="preserve">North </w:t>
      </w:r>
      <w:r w:rsidRPr="001454B0">
        <w:rPr>
          <w:rFonts w:ascii="Arial" w:hAnsi="Arial" w:cs="Arial"/>
          <w:i/>
          <w:iCs/>
          <w:color w:val="auto"/>
          <w:sz w:val="22"/>
          <w:szCs w:val="22"/>
          <w:lang w:val="en-US"/>
        </w:rPr>
        <w:t>Macedonia</w:t>
      </w:r>
      <w:r w:rsidRPr="001454B0">
        <w:rPr>
          <w:rFonts w:ascii="Arial" w:hAnsi="Arial" w:cs="Arial"/>
          <w:i/>
          <w:iCs/>
          <w:sz w:val="22"/>
          <w:szCs w:val="22"/>
          <w:lang w:val="en-US"/>
        </w:rPr>
        <w:t xml:space="preserve"> no</w:t>
      </w:r>
      <w:r w:rsidRPr="001454B0">
        <w:rPr>
          <w:rFonts w:ascii="Arial" w:hAnsi="Arial" w:cs="Arial"/>
          <w:i/>
          <w:iCs/>
          <w:sz w:val="22"/>
          <w:szCs w:val="22"/>
        </w:rPr>
        <w:t>. 33/23</w:t>
      </w:r>
    </w:p>
    <w:p w14:paraId="50F0CF70" w14:textId="77777777" w:rsidR="001454B0" w:rsidRPr="001454B0" w:rsidRDefault="001454B0" w:rsidP="001454B0">
      <w:pPr>
        <w:pStyle w:val="Default"/>
        <w:ind w:left="283" w:right="369" w:firstLine="437"/>
        <w:jc w:val="both"/>
        <w:rPr>
          <w:rFonts w:ascii="Arial" w:hAnsi="Arial" w:cs="Arial"/>
          <w:sz w:val="22"/>
          <w:szCs w:val="22"/>
        </w:rPr>
      </w:pPr>
    </w:p>
    <w:p w14:paraId="4152D66D" w14:textId="77777777" w:rsidR="001454B0" w:rsidRPr="001454B0" w:rsidRDefault="001454B0" w:rsidP="001454B0">
      <w:pPr>
        <w:ind w:firstLine="720"/>
        <w:jc w:val="both"/>
        <w:rPr>
          <w:rFonts w:ascii="Arial" w:hAnsi="Arial" w:cs="Arial"/>
        </w:rPr>
      </w:pPr>
    </w:p>
    <w:p w14:paraId="21F8EC2A" w14:textId="77777777" w:rsidR="001454B0" w:rsidRPr="001454B0" w:rsidRDefault="001454B0" w:rsidP="001454B0">
      <w:pPr>
        <w:ind w:firstLine="720"/>
        <w:jc w:val="both"/>
        <w:rPr>
          <w:rFonts w:ascii="Arial" w:hAnsi="Arial" w:cs="Arial"/>
        </w:rPr>
      </w:pPr>
      <w:r w:rsidRPr="001454B0">
        <w:rPr>
          <w:rFonts w:ascii="Arial" w:hAnsi="Arial" w:cs="Arial"/>
        </w:rPr>
        <w:t>According to the data from Chart No. 2, the structure of the compulsory oil reserves of Macedonia consists of four types of oil derivatives whose common share in the total domestic consumption is at least 75%, namely: Motor gasoline Eurosuper BS - 95, Diesel Eurodiesel BS (D- E-V), EL-1 Extra Light oil and Fuel oil M-1 NS.</w:t>
      </w:r>
    </w:p>
    <w:p w14:paraId="6588D58E" w14:textId="77777777" w:rsidR="001454B0" w:rsidRPr="001454B0" w:rsidRDefault="001454B0" w:rsidP="001454B0">
      <w:pPr>
        <w:autoSpaceDE w:val="0"/>
        <w:autoSpaceDN w:val="0"/>
        <w:adjustRightInd w:val="0"/>
        <w:spacing w:before="120"/>
        <w:ind w:firstLine="720"/>
        <w:jc w:val="both"/>
        <w:rPr>
          <w:rFonts w:ascii="Arial" w:hAnsi="Arial" w:cs="Arial"/>
        </w:rPr>
      </w:pPr>
      <w:r w:rsidRPr="001454B0">
        <w:rPr>
          <w:rFonts w:ascii="Arial" w:hAnsi="Arial" w:cs="Arial"/>
        </w:rPr>
        <w:t>The share of each individual oil derivative that is kept in the compulsory reserves is determined based on the individual shares of each oil derivative in the total domestic consumption in the previous calendar year. Table 4 shows the percentage share of each oil derivative in the compulsory oil reserves of Macedonia.</w:t>
      </w:r>
    </w:p>
    <w:p w14:paraId="4D75A1AB" w14:textId="77777777" w:rsidR="001454B0" w:rsidRPr="001454B0" w:rsidRDefault="001454B0" w:rsidP="001454B0">
      <w:pPr>
        <w:jc w:val="both"/>
        <w:rPr>
          <w:rFonts w:ascii="Arial" w:hAnsi="Arial" w:cs="Arial"/>
        </w:rPr>
      </w:pPr>
      <w:r w:rsidRPr="001454B0">
        <w:rPr>
          <w:rFonts w:ascii="Arial" w:hAnsi="Arial" w:cs="Arial"/>
          <w:b/>
        </w:rPr>
        <w:t xml:space="preserve">Table 4: </w:t>
      </w:r>
      <w:r w:rsidRPr="001454B0">
        <w:rPr>
          <w:rFonts w:ascii="Arial" w:hAnsi="Arial" w:cs="Arial"/>
        </w:rPr>
        <w:t>Structure of oil derivatives in compulsory reserves (in %)</w:t>
      </w:r>
    </w:p>
    <w:p w14:paraId="34C80B57" w14:textId="77777777" w:rsidR="001454B0" w:rsidRPr="001454B0" w:rsidRDefault="001454B0" w:rsidP="001454B0">
      <w:pPr>
        <w:ind w:left="720"/>
        <w:jc w:val="both"/>
        <w:rPr>
          <w:rFonts w:ascii="Arial" w:hAnsi="Arial" w:cs="Arial"/>
        </w:rPr>
      </w:pPr>
      <w:r w:rsidRPr="001454B0">
        <w:rPr>
          <w:rFonts w:ascii="Arial" w:hAnsi="Arial" w:cs="Arial"/>
        </w:rPr>
        <w:fldChar w:fldCharType="begin"/>
      </w:r>
      <w:r w:rsidRPr="001454B0">
        <w:rPr>
          <w:rFonts w:ascii="Arial" w:hAnsi="Arial" w:cs="Arial"/>
        </w:rPr>
        <w:instrText xml:space="preserve"> LINK Excel.Sheet.12 "F:\\AP VLASTO\\ap_29.11.xlsx" РЕЗИМЕ!R102C9:R106C10 \a \f 4 \h  \* MERGEFORMAT </w:instrText>
      </w:r>
      <w:r w:rsidRPr="001454B0">
        <w:rPr>
          <w:rFonts w:ascii="Arial" w:hAnsi="Arial" w:cs="Arial"/>
        </w:rPr>
        <w:fldChar w:fldCharType="separate"/>
      </w:r>
    </w:p>
    <w:tbl>
      <w:tblPr>
        <w:tblpPr w:leftFromText="180" w:rightFromText="180" w:vertAnchor="text" w:tblpY="1"/>
        <w:tblOverlap w:val="never"/>
        <w:tblW w:w="7177" w:type="dxa"/>
        <w:tblLook w:val="04A0" w:firstRow="1" w:lastRow="0" w:firstColumn="1" w:lastColumn="0" w:noHBand="0" w:noVBand="1"/>
      </w:tblPr>
      <w:tblGrid>
        <w:gridCol w:w="2405"/>
        <w:gridCol w:w="2410"/>
        <w:gridCol w:w="2126"/>
        <w:gridCol w:w="236"/>
      </w:tblGrid>
      <w:tr w:rsidR="001454B0" w:rsidRPr="001454B0" w14:paraId="6B28807B" w14:textId="77777777" w:rsidTr="00D30366">
        <w:trPr>
          <w:trHeight w:val="288"/>
        </w:trPr>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67E9DC" w14:textId="77777777" w:rsidR="001454B0" w:rsidRPr="001454B0" w:rsidRDefault="001454B0" w:rsidP="001454B0">
            <w:pPr>
              <w:jc w:val="center"/>
              <w:rPr>
                <w:rFonts w:ascii="Arial" w:eastAsia="Times New Roman" w:hAnsi="Arial" w:cs="Arial"/>
                <w:b/>
                <w:bCs/>
                <w:color w:val="000000"/>
                <w:lang w:eastAsia="mk-MK"/>
              </w:rPr>
            </w:pPr>
          </w:p>
          <w:p w14:paraId="22839449" w14:textId="77777777" w:rsidR="001454B0" w:rsidRPr="001454B0" w:rsidRDefault="001454B0" w:rsidP="001454B0">
            <w:pPr>
              <w:jc w:val="center"/>
              <w:rPr>
                <w:rFonts w:ascii="Arial" w:eastAsia="Times New Roman" w:hAnsi="Arial" w:cs="Arial"/>
                <w:color w:val="222222"/>
                <w:lang w:eastAsia="mk-MK"/>
              </w:rPr>
            </w:pPr>
            <w:r w:rsidRPr="001454B0">
              <w:rPr>
                <w:rFonts w:ascii="Arial" w:eastAsia="Times New Roman" w:hAnsi="Arial" w:cs="Arial"/>
                <w:b/>
                <w:bCs/>
                <w:color w:val="000000"/>
                <w:lang w:eastAsia="mk-MK"/>
              </w:rPr>
              <w:lastRenderedPageBreak/>
              <w:t>Type of oil derivative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DC75A2" w14:textId="77777777" w:rsidR="001454B0" w:rsidRPr="001454B0" w:rsidRDefault="001454B0" w:rsidP="001454B0">
            <w:pPr>
              <w:jc w:val="center"/>
              <w:rPr>
                <w:rFonts w:ascii="Arial" w:eastAsia="Times New Roman" w:hAnsi="Arial" w:cs="Arial"/>
                <w:color w:val="222222"/>
                <w:lang w:eastAsia="mk-MK"/>
              </w:rPr>
            </w:pPr>
            <w:r w:rsidRPr="001454B0">
              <w:rPr>
                <w:rFonts w:ascii="Arial" w:eastAsia="Times New Roman" w:hAnsi="Arial" w:cs="Arial"/>
                <w:b/>
                <w:bCs/>
                <w:color w:val="000000"/>
                <w:lang w:eastAsia="mk-MK"/>
              </w:rPr>
              <w:lastRenderedPageBreak/>
              <w:t>Quantity</w:t>
            </w:r>
          </w:p>
        </w:tc>
        <w:tc>
          <w:tcPr>
            <w:tcW w:w="2126" w:type="dxa"/>
            <w:tcBorders>
              <w:top w:val="single" w:sz="4" w:space="0" w:color="auto"/>
              <w:left w:val="nil"/>
              <w:bottom w:val="single" w:sz="4" w:space="0" w:color="auto"/>
              <w:right w:val="nil"/>
            </w:tcBorders>
            <w:shd w:val="clear" w:color="auto" w:fill="F2F2F2" w:themeFill="background1" w:themeFillShade="F2"/>
            <w:vAlign w:val="center"/>
          </w:tcPr>
          <w:p w14:paraId="20999BC6" w14:textId="77777777" w:rsidR="001454B0" w:rsidRPr="001454B0" w:rsidRDefault="001454B0" w:rsidP="001454B0">
            <w:pPr>
              <w:rPr>
                <w:rFonts w:ascii="Arial" w:eastAsia="Times New Roman" w:hAnsi="Arial" w:cs="Arial"/>
                <w:b/>
                <w:bCs/>
                <w:color w:val="000000"/>
                <w:lang w:eastAsia="mk-MK"/>
              </w:rPr>
            </w:pPr>
            <w:r w:rsidRPr="001454B0">
              <w:rPr>
                <w:rFonts w:ascii="Arial" w:eastAsia="Times New Roman" w:hAnsi="Arial" w:cs="Arial"/>
                <w:b/>
                <w:bCs/>
                <w:color w:val="000000"/>
                <w:lang w:eastAsia="mk-MK"/>
              </w:rPr>
              <w:t>Participation</w:t>
            </w:r>
          </w:p>
        </w:tc>
        <w:tc>
          <w:tcPr>
            <w:tcW w:w="236" w:type="dxa"/>
            <w:tcBorders>
              <w:top w:val="single" w:sz="4" w:space="0" w:color="auto"/>
              <w:left w:val="nil"/>
              <w:bottom w:val="single" w:sz="4" w:space="0" w:color="auto"/>
              <w:right w:val="single" w:sz="4" w:space="0" w:color="auto"/>
            </w:tcBorders>
            <w:shd w:val="clear" w:color="auto" w:fill="F2F2F2" w:themeFill="background1" w:themeFillShade="F2"/>
          </w:tcPr>
          <w:p w14:paraId="3FF9BF31" w14:textId="77777777" w:rsidR="001454B0" w:rsidRPr="001454B0" w:rsidRDefault="001454B0" w:rsidP="001454B0">
            <w:pPr>
              <w:jc w:val="center"/>
              <w:rPr>
                <w:rFonts w:ascii="Arial" w:eastAsia="Times New Roman" w:hAnsi="Arial" w:cs="Arial"/>
                <w:b/>
                <w:bCs/>
                <w:color w:val="000000"/>
                <w:lang w:eastAsia="mk-MK"/>
              </w:rPr>
            </w:pPr>
          </w:p>
        </w:tc>
      </w:tr>
      <w:tr w:rsidR="001454B0" w:rsidRPr="001454B0" w14:paraId="7A660333" w14:textId="77777777" w:rsidTr="00D30366">
        <w:trPr>
          <w:trHeight w:val="288"/>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5EC0B"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Motor gasoline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8CD1121" w14:textId="77777777" w:rsidR="001454B0" w:rsidRPr="001454B0" w:rsidRDefault="001454B0" w:rsidP="001454B0">
            <w:pPr>
              <w:jc w:val="right"/>
              <w:rPr>
                <w:rFonts w:ascii="Arial" w:eastAsia="Times New Roman" w:hAnsi="Arial" w:cs="Arial"/>
                <w:color w:val="222222"/>
                <w:lang w:eastAsia="mk-MK"/>
              </w:rPr>
            </w:pPr>
            <w:r w:rsidRPr="001454B0">
              <w:rPr>
                <w:rFonts w:ascii="Arial" w:eastAsia="Times New Roman" w:hAnsi="Arial" w:cs="Arial"/>
                <w:color w:val="222222"/>
                <w:lang w:eastAsia="mk-MK"/>
              </w:rPr>
              <w:t xml:space="preserve">32.132.281 </w:t>
            </w:r>
            <w:r w:rsidRPr="001454B0">
              <w:rPr>
                <w:rFonts w:ascii="Arial" w:hAnsi="Arial" w:cs="Arial"/>
              </w:rPr>
              <w:t xml:space="preserve"> </w:t>
            </w:r>
            <w:r w:rsidRPr="001454B0">
              <w:rPr>
                <w:rFonts w:ascii="Arial" w:eastAsia="Times New Roman" w:hAnsi="Arial" w:cs="Arial"/>
                <w:color w:val="222222"/>
                <w:lang w:eastAsia="mk-MK"/>
              </w:rPr>
              <w:t>liters</w:t>
            </w:r>
          </w:p>
        </w:tc>
        <w:tc>
          <w:tcPr>
            <w:tcW w:w="2126" w:type="dxa"/>
            <w:tcBorders>
              <w:top w:val="single" w:sz="4" w:space="0" w:color="auto"/>
              <w:left w:val="nil"/>
              <w:bottom w:val="single" w:sz="4" w:space="0" w:color="auto"/>
              <w:right w:val="nil"/>
            </w:tcBorders>
            <w:shd w:val="clear" w:color="auto" w:fill="auto"/>
            <w:vAlign w:val="bottom"/>
          </w:tcPr>
          <w:p w14:paraId="5E16DC21" w14:textId="77777777" w:rsidR="001454B0" w:rsidRPr="001454B0" w:rsidRDefault="001454B0" w:rsidP="001454B0">
            <w:pPr>
              <w:jc w:val="right"/>
              <w:rPr>
                <w:rFonts w:ascii="Arial" w:eastAsia="Times New Roman" w:hAnsi="Arial" w:cs="Arial"/>
                <w:color w:val="222222"/>
                <w:lang w:eastAsia="mk-MK"/>
              </w:rPr>
            </w:pPr>
            <w:r w:rsidRPr="001454B0">
              <w:rPr>
                <w:rFonts w:ascii="Arial" w:eastAsia="Times New Roman" w:hAnsi="Arial" w:cs="Arial"/>
                <w:color w:val="222222"/>
                <w:lang w:eastAsia="mk-MK"/>
              </w:rPr>
              <w:t>18%</w:t>
            </w:r>
          </w:p>
        </w:tc>
        <w:tc>
          <w:tcPr>
            <w:tcW w:w="236" w:type="dxa"/>
            <w:tcBorders>
              <w:top w:val="single" w:sz="4" w:space="0" w:color="auto"/>
              <w:left w:val="nil"/>
              <w:bottom w:val="single" w:sz="4" w:space="0" w:color="auto"/>
              <w:right w:val="single" w:sz="4" w:space="0" w:color="auto"/>
            </w:tcBorders>
            <w:shd w:val="clear" w:color="auto" w:fill="auto"/>
          </w:tcPr>
          <w:p w14:paraId="2E07C038" w14:textId="77777777" w:rsidR="001454B0" w:rsidRPr="001454B0" w:rsidRDefault="001454B0" w:rsidP="001454B0">
            <w:pPr>
              <w:jc w:val="right"/>
              <w:rPr>
                <w:rFonts w:ascii="Arial" w:eastAsia="Times New Roman" w:hAnsi="Arial" w:cs="Arial"/>
                <w:color w:val="000000"/>
                <w:lang w:eastAsia="en-GB"/>
              </w:rPr>
            </w:pPr>
          </w:p>
        </w:tc>
      </w:tr>
      <w:tr w:rsidR="001454B0" w:rsidRPr="001454B0" w14:paraId="3D749D87" w14:textId="77777777" w:rsidTr="00D30366">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695BA15"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Diesel</w:t>
            </w:r>
          </w:p>
        </w:tc>
        <w:tc>
          <w:tcPr>
            <w:tcW w:w="2410" w:type="dxa"/>
            <w:tcBorders>
              <w:top w:val="nil"/>
              <w:left w:val="nil"/>
              <w:bottom w:val="single" w:sz="4" w:space="0" w:color="auto"/>
              <w:right w:val="single" w:sz="4" w:space="0" w:color="auto"/>
            </w:tcBorders>
            <w:shd w:val="clear" w:color="auto" w:fill="auto"/>
            <w:noWrap/>
            <w:vAlign w:val="bottom"/>
            <w:hideMark/>
          </w:tcPr>
          <w:p w14:paraId="29108987" w14:textId="77777777" w:rsidR="001454B0" w:rsidRPr="001454B0" w:rsidRDefault="001454B0" w:rsidP="001454B0">
            <w:pPr>
              <w:jc w:val="right"/>
              <w:rPr>
                <w:rFonts w:ascii="Arial" w:eastAsia="Times New Roman" w:hAnsi="Arial" w:cs="Arial"/>
                <w:color w:val="222222"/>
                <w:lang w:eastAsia="mk-MK"/>
              </w:rPr>
            </w:pPr>
            <w:r w:rsidRPr="001454B0">
              <w:rPr>
                <w:rFonts w:ascii="Arial" w:eastAsia="Times New Roman" w:hAnsi="Arial" w:cs="Arial"/>
                <w:color w:val="222222"/>
                <w:lang w:eastAsia="mk-MK"/>
              </w:rPr>
              <w:t xml:space="preserve">115.889.077 </w:t>
            </w:r>
            <w:r w:rsidRPr="001454B0">
              <w:rPr>
                <w:rFonts w:ascii="Arial" w:hAnsi="Arial" w:cs="Arial"/>
              </w:rPr>
              <w:t xml:space="preserve"> </w:t>
            </w:r>
            <w:r w:rsidRPr="001454B0">
              <w:rPr>
                <w:rFonts w:ascii="Arial" w:eastAsia="Times New Roman" w:hAnsi="Arial" w:cs="Arial"/>
                <w:color w:val="222222"/>
                <w:lang w:eastAsia="mk-MK"/>
              </w:rPr>
              <w:t>liters</w:t>
            </w:r>
          </w:p>
        </w:tc>
        <w:tc>
          <w:tcPr>
            <w:tcW w:w="2126" w:type="dxa"/>
            <w:tcBorders>
              <w:top w:val="nil"/>
              <w:left w:val="nil"/>
              <w:bottom w:val="single" w:sz="4" w:space="0" w:color="auto"/>
              <w:right w:val="nil"/>
            </w:tcBorders>
            <w:shd w:val="clear" w:color="auto" w:fill="auto"/>
            <w:vAlign w:val="bottom"/>
          </w:tcPr>
          <w:p w14:paraId="7A78C7F9" w14:textId="77777777" w:rsidR="001454B0" w:rsidRPr="001454B0" w:rsidRDefault="001454B0" w:rsidP="001454B0">
            <w:pPr>
              <w:jc w:val="right"/>
              <w:rPr>
                <w:rFonts w:ascii="Arial" w:eastAsia="Times New Roman" w:hAnsi="Arial" w:cs="Arial"/>
                <w:color w:val="222222"/>
                <w:lang w:eastAsia="mk-MK"/>
              </w:rPr>
            </w:pPr>
            <w:r w:rsidRPr="001454B0">
              <w:rPr>
                <w:rFonts w:ascii="Arial" w:eastAsia="Times New Roman" w:hAnsi="Arial" w:cs="Arial"/>
                <w:color w:val="222222"/>
                <w:lang w:eastAsia="mk-MK"/>
              </w:rPr>
              <w:t>64%</w:t>
            </w:r>
          </w:p>
        </w:tc>
        <w:tc>
          <w:tcPr>
            <w:tcW w:w="236" w:type="dxa"/>
            <w:tcBorders>
              <w:top w:val="nil"/>
              <w:left w:val="nil"/>
              <w:bottom w:val="single" w:sz="4" w:space="0" w:color="auto"/>
              <w:right w:val="single" w:sz="4" w:space="0" w:color="auto"/>
            </w:tcBorders>
            <w:shd w:val="clear" w:color="auto" w:fill="auto"/>
          </w:tcPr>
          <w:p w14:paraId="069C83B0" w14:textId="77777777" w:rsidR="001454B0" w:rsidRPr="001454B0" w:rsidRDefault="001454B0" w:rsidP="001454B0">
            <w:pPr>
              <w:jc w:val="right"/>
              <w:rPr>
                <w:rFonts w:ascii="Arial" w:eastAsia="Times New Roman" w:hAnsi="Arial" w:cs="Arial"/>
                <w:color w:val="000000"/>
                <w:lang w:eastAsia="en-GB"/>
              </w:rPr>
            </w:pPr>
          </w:p>
        </w:tc>
      </w:tr>
      <w:tr w:rsidR="001454B0" w:rsidRPr="001454B0" w14:paraId="08DA9D3C" w14:textId="77777777" w:rsidTr="00D30366">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DCC0C6D"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ЕL-1</w:t>
            </w:r>
          </w:p>
        </w:tc>
        <w:tc>
          <w:tcPr>
            <w:tcW w:w="2410" w:type="dxa"/>
            <w:tcBorders>
              <w:top w:val="nil"/>
              <w:left w:val="nil"/>
              <w:bottom w:val="single" w:sz="4" w:space="0" w:color="auto"/>
              <w:right w:val="single" w:sz="4" w:space="0" w:color="auto"/>
            </w:tcBorders>
            <w:shd w:val="clear" w:color="auto" w:fill="auto"/>
            <w:noWrap/>
            <w:vAlign w:val="bottom"/>
            <w:hideMark/>
          </w:tcPr>
          <w:p w14:paraId="580576E8" w14:textId="77777777" w:rsidR="001454B0" w:rsidRPr="001454B0" w:rsidRDefault="001454B0" w:rsidP="001454B0">
            <w:pPr>
              <w:jc w:val="right"/>
              <w:rPr>
                <w:rFonts w:ascii="Arial" w:eastAsia="Times New Roman" w:hAnsi="Arial" w:cs="Arial"/>
                <w:color w:val="222222"/>
                <w:lang w:eastAsia="mk-MK"/>
              </w:rPr>
            </w:pPr>
            <w:r w:rsidRPr="001454B0">
              <w:rPr>
                <w:rFonts w:ascii="Arial" w:eastAsia="Times New Roman" w:hAnsi="Arial" w:cs="Arial"/>
                <w:color w:val="222222"/>
                <w:lang w:eastAsia="mk-MK"/>
              </w:rPr>
              <w:t xml:space="preserve">  10.772.019 </w:t>
            </w:r>
            <w:r w:rsidRPr="001454B0">
              <w:rPr>
                <w:rFonts w:ascii="Arial" w:hAnsi="Arial" w:cs="Arial"/>
              </w:rPr>
              <w:t xml:space="preserve"> </w:t>
            </w:r>
            <w:r w:rsidRPr="001454B0">
              <w:rPr>
                <w:rFonts w:ascii="Arial" w:eastAsia="Times New Roman" w:hAnsi="Arial" w:cs="Arial"/>
                <w:color w:val="222222"/>
                <w:lang w:eastAsia="mk-MK"/>
              </w:rPr>
              <w:t>liters</w:t>
            </w:r>
          </w:p>
        </w:tc>
        <w:tc>
          <w:tcPr>
            <w:tcW w:w="2126" w:type="dxa"/>
            <w:tcBorders>
              <w:top w:val="nil"/>
              <w:left w:val="nil"/>
              <w:bottom w:val="single" w:sz="4" w:space="0" w:color="auto"/>
              <w:right w:val="nil"/>
            </w:tcBorders>
            <w:shd w:val="clear" w:color="auto" w:fill="auto"/>
            <w:vAlign w:val="bottom"/>
          </w:tcPr>
          <w:p w14:paraId="64AF7CCB" w14:textId="77777777" w:rsidR="001454B0" w:rsidRPr="001454B0" w:rsidRDefault="001454B0" w:rsidP="001454B0">
            <w:pPr>
              <w:jc w:val="right"/>
              <w:rPr>
                <w:rFonts w:ascii="Arial" w:eastAsia="Times New Roman" w:hAnsi="Arial" w:cs="Arial"/>
                <w:color w:val="222222"/>
                <w:lang w:eastAsia="mk-MK"/>
              </w:rPr>
            </w:pPr>
            <w:r w:rsidRPr="001454B0">
              <w:rPr>
                <w:rFonts w:ascii="Arial" w:eastAsia="Times New Roman" w:hAnsi="Arial" w:cs="Arial"/>
                <w:color w:val="222222"/>
                <w:lang w:eastAsia="mk-MK"/>
              </w:rPr>
              <w:t>6%</w:t>
            </w:r>
          </w:p>
        </w:tc>
        <w:tc>
          <w:tcPr>
            <w:tcW w:w="236" w:type="dxa"/>
            <w:tcBorders>
              <w:top w:val="nil"/>
              <w:left w:val="nil"/>
              <w:bottom w:val="single" w:sz="4" w:space="0" w:color="auto"/>
              <w:right w:val="single" w:sz="4" w:space="0" w:color="auto"/>
            </w:tcBorders>
            <w:shd w:val="clear" w:color="auto" w:fill="auto"/>
          </w:tcPr>
          <w:p w14:paraId="3B5361C5" w14:textId="77777777" w:rsidR="001454B0" w:rsidRPr="001454B0" w:rsidRDefault="001454B0" w:rsidP="001454B0">
            <w:pPr>
              <w:jc w:val="right"/>
              <w:rPr>
                <w:rFonts w:ascii="Arial" w:eastAsia="Times New Roman" w:hAnsi="Arial" w:cs="Arial"/>
                <w:color w:val="000000"/>
                <w:lang w:eastAsia="en-GB"/>
              </w:rPr>
            </w:pPr>
          </w:p>
        </w:tc>
      </w:tr>
      <w:tr w:rsidR="001454B0" w:rsidRPr="001454B0" w14:paraId="6DB00141" w14:textId="77777777" w:rsidTr="00D30366">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5CEB208"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Fuel oil</w:t>
            </w:r>
          </w:p>
        </w:tc>
        <w:tc>
          <w:tcPr>
            <w:tcW w:w="2410" w:type="dxa"/>
            <w:tcBorders>
              <w:top w:val="nil"/>
              <w:left w:val="nil"/>
              <w:bottom w:val="single" w:sz="4" w:space="0" w:color="auto"/>
              <w:right w:val="single" w:sz="4" w:space="0" w:color="auto"/>
            </w:tcBorders>
            <w:shd w:val="clear" w:color="auto" w:fill="auto"/>
            <w:noWrap/>
            <w:vAlign w:val="bottom"/>
            <w:hideMark/>
          </w:tcPr>
          <w:p w14:paraId="2590AF54" w14:textId="77777777" w:rsidR="001454B0" w:rsidRPr="001454B0" w:rsidRDefault="001454B0" w:rsidP="001454B0">
            <w:pPr>
              <w:jc w:val="right"/>
              <w:rPr>
                <w:rFonts w:ascii="Arial" w:eastAsia="Times New Roman" w:hAnsi="Arial" w:cs="Arial"/>
                <w:color w:val="222222"/>
                <w:lang w:eastAsia="mk-MK"/>
              </w:rPr>
            </w:pPr>
            <w:r w:rsidRPr="001454B0">
              <w:rPr>
                <w:rFonts w:ascii="Arial" w:eastAsia="Times New Roman" w:hAnsi="Arial" w:cs="Arial"/>
                <w:color w:val="222222"/>
                <w:lang w:eastAsia="mk-MK"/>
              </w:rPr>
              <w:t xml:space="preserve">  21.576.589 </w:t>
            </w:r>
            <w:r w:rsidRPr="001454B0">
              <w:rPr>
                <w:rFonts w:ascii="Arial" w:hAnsi="Arial" w:cs="Arial"/>
              </w:rPr>
              <w:t xml:space="preserve"> k</w:t>
            </w:r>
            <w:r w:rsidRPr="001454B0">
              <w:rPr>
                <w:rFonts w:ascii="Arial" w:eastAsia="Times New Roman" w:hAnsi="Arial" w:cs="Arial"/>
                <w:color w:val="222222"/>
                <w:lang w:eastAsia="mk-MK"/>
              </w:rPr>
              <w:t>ilograms</w:t>
            </w:r>
          </w:p>
        </w:tc>
        <w:tc>
          <w:tcPr>
            <w:tcW w:w="2126" w:type="dxa"/>
            <w:tcBorders>
              <w:top w:val="nil"/>
              <w:left w:val="nil"/>
              <w:bottom w:val="single" w:sz="4" w:space="0" w:color="auto"/>
              <w:right w:val="nil"/>
            </w:tcBorders>
            <w:shd w:val="clear" w:color="auto" w:fill="auto"/>
            <w:vAlign w:val="bottom"/>
          </w:tcPr>
          <w:p w14:paraId="3AA2FBDD" w14:textId="77777777" w:rsidR="001454B0" w:rsidRPr="001454B0" w:rsidRDefault="001454B0" w:rsidP="001454B0">
            <w:pPr>
              <w:jc w:val="right"/>
              <w:rPr>
                <w:rFonts w:ascii="Arial" w:eastAsia="Times New Roman" w:hAnsi="Arial" w:cs="Arial"/>
                <w:color w:val="222222"/>
                <w:lang w:eastAsia="mk-MK"/>
              </w:rPr>
            </w:pPr>
            <w:r w:rsidRPr="001454B0">
              <w:rPr>
                <w:rFonts w:ascii="Arial" w:eastAsia="Times New Roman" w:hAnsi="Arial" w:cs="Arial"/>
                <w:color w:val="222222"/>
                <w:lang w:eastAsia="mk-MK"/>
              </w:rPr>
              <w:t>12%</w:t>
            </w:r>
          </w:p>
        </w:tc>
        <w:tc>
          <w:tcPr>
            <w:tcW w:w="236" w:type="dxa"/>
            <w:tcBorders>
              <w:top w:val="nil"/>
              <w:left w:val="nil"/>
              <w:bottom w:val="single" w:sz="4" w:space="0" w:color="auto"/>
              <w:right w:val="single" w:sz="4" w:space="0" w:color="auto"/>
            </w:tcBorders>
            <w:shd w:val="clear" w:color="auto" w:fill="auto"/>
          </w:tcPr>
          <w:p w14:paraId="19A518AA" w14:textId="77777777" w:rsidR="001454B0" w:rsidRPr="001454B0" w:rsidRDefault="001454B0" w:rsidP="001454B0">
            <w:pPr>
              <w:jc w:val="right"/>
              <w:rPr>
                <w:rFonts w:ascii="Arial" w:eastAsia="Times New Roman" w:hAnsi="Arial" w:cs="Arial"/>
                <w:color w:val="000000"/>
                <w:lang w:eastAsia="en-GB"/>
              </w:rPr>
            </w:pPr>
          </w:p>
        </w:tc>
      </w:tr>
      <w:tr w:rsidR="001454B0" w:rsidRPr="001454B0" w14:paraId="65B8FCA2" w14:textId="77777777" w:rsidTr="00D30366">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42D101B" w14:textId="77777777" w:rsidR="001454B0" w:rsidRPr="001454B0" w:rsidRDefault="001454B0" w:rsidP="001454B0">
            <w:pPr>
              <w:rPr>
                <w:rFonts w:ascii="Arial" w:eastAsia="Times New Roman" w:hAnsi="Arial" w:cs="Arial"/>
                <w:b/>
                <w:bCs/>
                <w:color w:val="222222"/>
                <w:lang w:eastAsia="mk-MK"/>
              </w:rPr>
            </w:pPr>
            <w:r w:rsidRPr="001454B0">
              <w:rPr>
                <w:rFonts w:ascii="Arial" w:eastAsia="Times New Roman" w:hAnsi="Arial" w:cs="Arial"/>
                <w:b/>
                <w:bCs/>
                <w:color w:val="222222"/>
                <w:lang w:eastAsia="mk-MK"/>
              </w:rPr>
              <w:t xml:space="preserve">Total </w:t>
            </w:r>
          </w:p>
        </w:tc>
        <w:tc>
          <w:tcPr>
            <w:tcW w:w="2410" w:type="dxa"/>
            <w:tcBorders>
              <w:top w:val="nil"/>
              <w:left w:val="nil"/>
              <w:bottom w:val="single" w:sz="4" w:space="0" w:color="auto"/>
              <w:right w:val="single" w:sz="4" w:space="0" w:color="auto"/>
            </w:tcBorders>
            <w:shd w:val="clear" w:color="auto" w:fill="auto"/>
            <w:noWrap/>
            <w:vAlign w:val="bottom"/>
            <w:hideMark/>
          </w:tcPr>
          <w:p w14:paraId="1FCF8818" w14:textId="77777777" w:rsidR="001454B0" w:rsidRPr="001454B0" w:rsidRDefault="001454B0" w:rsidP="001454B0">
            <w:pPr>
              <w:jc w:val="right"/>
              <w:rPr>
                <w:rFonts w:ascii="Arial" w:eastAsia="Times New Roman" w:hAnsi="Arial" w:cs="Arial"/>
                <w:b/>
                <w:bCs/>
                <w:color w:val="222222"/>
                <w:lang w:eastAsia="mk-MK"/>
              </w:rPr>
            </w:pPr>
          </w:p>
        </w:tc>
        <w:tc>
          <w:tcPr>
            <w:tcW w:w="2126" w:type="dxa"/>
            <w:tcBorders>
              <w:top w:val="nil"/>
              <w:left w:val="nil"/>
              <w:bottom w:val="single" w:sz="4" w:space="0" w:color="auto"/>
              <w:right w:val="nil"/>
            </w:tcBorders>
            <w:shd w:val="clear" w:color="auto" w:fill="auto"/>
            <w:vAlign w:val="bottom"/>
          </w:tcPr>
          <w:p w14:paraId="77A4C19B" w14:textId="77777777" w:rsidR="001454B0" w:rsidRPr="001454B0" w:rsidRDefault="001454B0" w:rsidP="001454B0">
            <w:pPr>
              <w:jc w:val="right"/>
              <w:rPr>
                <w:rFonts w:ascii="Arial" w:eastAsia="Times New Roman" w:hAnsi="Arial" w:cs="Arial"/>
                <w:b/>
                <w:bCs/>
                <w:color w:val="222222"/>
                <w:lang w:eastAsia="mk-MK"/>
              </w:rPr>
            </w:pPr>
            <w:r w:rsidRPr="001454B0">
              <w:rPr>
                <w:rFonts w:ascii="Arial" w:eastAsia="Times New Roman" w:hAnsi="Arial" w:cs="Arial"/>
                <w:b/>
                <w:bCs/>
                <w:color w:val="222222"/>
                <w:lang w:eastAsia="mk-MK"/>
              </w:rPr>
              <w:t>100%</w:t>
            </w:r>
          </w:p>
        </w:tc>
        <w:tc>
          <w:tcPr>
            <w:tcW w:w="236" w:type="dxa"/>
            <w:tcBorders>
              <w:top w:val="nil"/>
              <w:left w:val="nil"/>
              <w:bottom w:val="single" w:sz="4" w:space="0" w:color="auto"/>
              <w:right w:val="single" w:sz="4" w:space="0" w:color="auto"/>
            </w:tcBorders>
            <w:shd w:val="clear" w:color="auto" w:fill="auto"/>
          </w:tcPr>
          <w:p w14:paraId="06A43CB1" w14:textId="77777777" w:rsidR="001454B0" w:rsidRPr="001454B0" w:rsidRDefault="001454B0" w:rsidP="001454B0">
            <w:pPr>
              <w:jc w:val="right"/>
              <w:rPr>
                <w:rFonts w:ascii="Arial" w:eastAsia="Times New Roman" w:hAnsi="Arial" w:cs="Arial"/>
                <w:color w:val="000000"/>
                <w:lang w:eastAsia="en-GB"/>
              </w:rPr>
            </w:pPr>
          </w:p>
        </w:tc>
      </w:tr>
    </w:tbl>
    <w:p w14:paraId="04C0C4BF" w14:textId="77777777" w:rsidR="001454B0" w:rsidRPr="001454B0" w:rsidRDefault="001454B0" w:rsidP="001454B0">
      <w:pPr>
        <w:pStyle w:val="Default"/>
        <w:ind w:left="426" w:right="369"/>
        <w:rPr>
          <w:rFonts w:ascii="Arial" w:hAnsi="Arial" w:cs="Arial"/>
          <w:i/>
          <w:sz w:val="22"/>
          <w:szCs w:val="22"/>
        </w:rPr>
      </w:pPr>
      <w:r w:rsidRPr="001454B0">
        <w:rPr>
          <w:rFonts w:ascii="Arial" w:hAnsi="Arial" w:cs="Arial"/>
          <w:sz w:val="22"/>
          <w:szCs w:val="22"/>
        </w:rPr>
        <w:fldChar w:fldCharType="end"/>
      </w:r>
      <w:r w:rsidRPr="001454B0">
        <w:rPr>
          <w:rFonts w:ascii="Arial" w:hAnsi="Arial" w:cs="Arial"/>
          <w:i/>
          <w:sz w:val="22"/>
          <w:szCs w:val="22"/>
        </w:rPr>
        <w:t xml:space="preserve"> </w:t>
      </w:r>
      <w:r w:rsidRPr="001454B0">
        <w:rPr>
          <w:rFonts w:ascii="Arial" w:hAnsi="Arial" w:cs="Arial"/>
          <w:i/>
          <w:sz w:val="22"/>
          <w:szCs w:val="22"/>
          <w:lang w:val="en-US"/>
        </w:rPr>
        <w:t>Source</w:t>
      </w:r>
      <w:r w:rsidRPr="001454B0">
        <w:rPr>
          <w:rFonts w:ascii="Arial" w:hAnsi="Arial" w:cs="Arial"/>
          <w:i/>
          <w:sz w:val="22"/>
          <w:szCs w:val="22"/>
        </w:rPr>
        <w:t xml:space="preserve">: </w:t>
      </w:r>
      <w:r w:rsidRPr="001454B0">
        <w:rPr>
          <w:rFonts w:ascii="Arial" w:hAnsi="Arial" w:cs="Arial"/>
          <w:i/>
          <w:iCs/>
          <w:sz w:val="22"/>
          <w:szCs w:val="22"/>
        </w:rPr>
        <w:t>Action plan for the establishment of compulsory reserves</w:t>
      </w:r>
      <w:r w:rsidRPr="001454B0">
        <w:rPr>
          <w:rFonts w:ascii="Arial" w:hAnsi="Arial" w:cs="Arial"/>
          <w:sz w:val="22"/>
          <w:szCs w:val="22"/>
          <w:lang w:val="en-US"/>
        </w:rPr>
        <w:t xml:space="preserve"> </w:t>
      </w:r>
      <w:r w:rsidRPr="001454B0">
        <w:rPr>
          <w:rFonts w:ascii="Arial" w:hAnsi="Arial" w:cs="Arial"/>
          <w:i/>
          <w:iCs/>
          <w:sz w:val="22"/>
          <w:szCs w:val="22"/>
        </w:rPr>
        <w:t>2023-2025</w:t>
      </w:r>
      <w:r w:rsidRPr="001454B0">
        <w:rPr>
          <w:rFonts w:ascii="Arial" w:hAnsi="Arial" w:cs="Arial"/>
          <w:i/>
          <w:sz w:val="22"/>
          <w:szCs w:val="22"/>
        </w:rPr>
        <w:t xml:space="preserve">, </w:t>
      </w:r>
      <w:r w:rsidRPr="001454B0">
        <w:rPr>
          <w:rFonts w:ascii="Arial" w:hAnsi="Arial" w:cs="Arial"/>
          <w:i/>
          <w:iCs/>
          <w:color w:val="auto"/>
          <w:sz w:val="22"/>
          <w:szCs w:val="22"/>
          <w:lang w:val="en-US"/>
        </w:rPr>
        <w:t>Official Gazette</w:t>
      </w:r>
      <w:r w:rsidRPr="001454B0">
        <w:rPr>
          <w:rFonts w:ascii="Arial" w:hAnsi="Arial" w:cs="Arial"/>
          <w:i/>
          <w:iCs/>
          <w:sz w:val="22"/>
          <w:szCs w:val="22"/>
          <w:lang w:val="en-US"/>
        </w:rPr>
        <w:t xml:space="preserve"> </w:t>
      </w:r>
      <w:r w:rsidRPr="001454B0">
        <w:rPr>
          <w:rFonts w:ascii="Arial" w:hAnsi="Arial" w:cs="Arial"/>
          <w:i/>
          <w:iCs/>
          <w:sz w:val="22"/>
          <w:szCs w:val="22"/>
        </w:rPr>
        <w:t>of</w:t>
      </w:r>
      <w:r w:rsidRPr="001454B0">
        <w:rPr>
          <w:rFonts w:ascii="Arial" w:hAnsi="Arial" w:cs="Arial"/>
          <w:i/>
          <w:iCs/>
          <w:color w:val="auto"/>
          <w:sz w:val="22"/>
          <w:szCs w:val="22"/>
          <w:lang w:val="en-US"/>
        </w:rPr>
        <w:t xml:space="preserve"> the Republic of </w:t>
      </w:r>
      <w:r w:rsidRPr="001454B0">
        <w:rPr>
          <w:rFonts w:ascii="Arial" w:hAnsi="Arial" w:cs="Arial"/>
          <w:i/>
          <w:iCs/>
          <w:sz w:val="22"/>
          <w:szCs w:val="22"/>
          <w:lang w:val="en-US"/>
        </w:rPr>
        <w:t xml:space="preserve">North </w:t>
      </w:r>
      <w:r w:rsidRPr="001454B0">
        <w:rPr>
          <w:rFonts w:ascii="Arial" w:hAnsi="Arial" w:cs="Arial"/>
          <w:i/>
          <w:iCs/>
          <w:color w:val="auto"/>
          <w:sz w:val="22"/>
          <w:szCs w:val="22"/>
          <w:lang w:val="en-US"/>
        </w:rPr>
        <w:t>Macedonia</w:t>
      </w:r>
      <w:r w:rsidRPr="001454B0">
        <w:rPr>
          <w:rFonts w:ascii="Arial" w:hAnsi="Arial" w:cs="Arial"/>
          <w:i/>
          <w:iCs/>
          <w:sz w:val="22"/>
          <w:szCs w:val="22"/>
          <w:lang w:val="en-US"/>
        </w:rPr>
        <w:t xml:space="preserve"> no</w:t>
      </w:r>
      <w:r w:rsidRPr="001454B0">
        <w:rPr>
          <w:rFonts w:ascii="Arial" w:hAnsi="Arial" w:cs="Arial"/>
          <w:i/>
          <w:iCs/>
          <w:sz w:val="22"/>
          <w:szCs w:val="22"/>
        </w:rPr>
        <w:t>. 33/23</w:t>
      </w:r>
    </w:p>
    <w:p w14:paraId="72488A75" w14:textId="77777777" w:rsidR="001454B0" w:rsidRPr="001454B0" w:rsidRDefault="001454B0" w:rsidP="001454B0">
      <w:pPr>
        <w:pStyle w:val="Default"/>
        <w:ind w:left="426" w:right="369"/>
        <w:rPr>
          <w:rFonts w:ascii="Arial" w:hAnsi="Arial" w:cs="Arial"/>
          <w:sz w:val="22"/>
          <w:szCs w:val="22"/>
        </w:rPr>
      </w:pPr>
    </w:p>
    <w:p w14:paraId="63F497BF" w14:textId="77777777" w:rsidR="001454B0" w:rsidRPr="001454B0" w:rsidRDefault="001454B0" w:rsidP="001454B0">
      <w:pPr>
        <w:ind w:firstLine="720"/>
        <w:jc w:val="both"/>
        <w:rPr>
          <w:rFonts w:ascii="Arial" w:eastAsia="Times New Roman" w:hAnsi="Arial" w:cs="Arial"/>
          <w:color w:val="222222"/>
          <w:lang w:eastAsia="mk-MK"/>
        </w:rPr>
      </w:pPr>
      <w:r w:rsidRPr="001454B0">
        <w:rPr>
          <w:rFonts w:ascii="Arial" w:eastAsia="Times New Roman" w:hAnsi="Arial" w:cs="Arial"/>
          <w:color w:val="222222"/>
          <w:lang w:eastAsia="mk-MK"/>
        </w:rPr>
        <w:t>As can be seen from the table above, diesel has the largest consumption of oil derivatives in Macedonia with share of 64%, followed by gasoline with a share of 18%, fuel oil with 12% and extra light oil EL-1 with a share of of 6%.</w:t>
      </w:r>
    </w:p>
    <w:p w14:paraId="396E744C" w14:textId="77777777" w:rsidR="001454B0" w:rsidRPr="001454B0" w:rsidRDefault="001454B0" w:rsidP="001454B0">
      <w:pPr>
        <w:ind w:left="283" w:right="351" w:firstLine="1"/>
        <w:jc w:val="both"/>
        <w:rPr>
          <w:rFonts w:ascii="Arial" w:hAnsi="Arial" w:cs="Arial"/>
          <w:b/>
        </w:rPr>
      </w:pPr>
    </w:p>
    <w:p w14:paraId="5D704F64" w14:textId="77777777" w:rsidR="001454B0" w:rsidRPr="001454B0" w:rsidRDefault="001454B0" w:rsidP="001454B0">
      <w:pPr>
        <w:ind w:left="283" w:right="351" w:firstLine="1"/>
        <w:jc w:val="both"/>
        <w:rPr>
          <w:rFonts w:ascii="Arial" w:hAnsi="Arial" w:cs="Arial"/>
          <w:b/>
        </w:rPr>
      </w:pPr>
    </w:p>
    <w:p w14:paraId="38A2899E" w14:textId="77777777" w:rsidR="001454B0" w:rsidRPr="001454B0" w:rsidRDefault="001454B0" w:rsidP="001454B0">
      <w:pPr>
        <w:ind w:left="283" w:right="351" w:firstLine="1"/>
        <w:jc w:val="both"/>
        <w:rPr>
          <w:rFonts w:ascii="Arial" w:hAnsi="Arial" w:cs="Arial"/>
        </w:rPr>
      </w:pPr>
      <w:r w:rsidRPr="001454B0">
        <w:rPr>
          <w:rFonts w:ascii="Arial" w:hAnsi="Arial" w:cs="Arial"/>
          <w:b/>
        </w:rPr>
        <w:t xml:space="preserve">Table 5: </w:t>
      </w:r>
      <w:r w:rsidRPr="001454B0">
        <w:rPr>
          <w:rFonts w:ascii="Arial" w:hAnsi="Arial" w:cs="Arial"/>
        </w:rPr>
        <w:t>Predicted level of compulsory reserves on 31.12.2025 (in kton)</w:t>
      </w:r>
    </w:p>
    <w:p w14:paraId="4E864784" w14:textId="77777777" w:rsidR="001454B0" w:rsidRPr="001454B0" w:rsidRDefault="001454B0" w:rsidP="001454B0">
      <w:pPr>
        <w:ind w:left="284"/>
        <w:jc w:val="both"/>
        <w:rPr>
          <w:rFonts w:ascii="Arial" w:hAnsi="Arial" w:cs="Arial"/>
        </w:rPr>
      </w:pPr>
      <w:r w:rsidRPr="001454B0">
        <w:rPr>
          <w:rFonts w:ascii="Arial" w:hAnsi="Arial" w:cs="Arial"/>
        </w:rPr>
        <w:fldChar w:fldCharType="begin"/>
      </w:r>
      <w:r w:rsidRPr="001454B0">
        <w:rPr>
          <w:rFonts w:ascii="Arial" w:hAnsi="Arial" w:cs="Arial"/>
        </w:rPr>
        <w:instrText xml:space="preserve"> LINK Excel.Sheet.12 "F:\\AP VLASTO\\ap_12.11.xlsx" "сценарио 1!R12C1:R17C5" \a \f 4 \h  \* MERGEFORMAT </w:instrText>
      </w:r>
      <w:r w:rsidRPr="001454B0">
        <w:rPr>
          <w:rFonts w:ascii="Arial" w:hAnsi="Arial" w:cs="Arial"/>
        </w:rPr>
        <w:fldChar w:fldCharType="separate"/>
      </w:r>
    </w:p>
    <w:tbl>
      <w:tblPr>
        <w:tblpPr w:leftFromText="180" w:rightFromText="180" w:vertAnchor="text" w:tblpXSpec="center" w:tblpY="1"/>
        <w:tblOverlap w:val="never"/>
        <w:tblW w:w="7088" w:type="dxa"/>
        <w:jc w:val="center"/>
        <w:tblLook w:val="04A0" w:firstRow="1" w:lastRow="0" w:firstColumn="1" w:lastColumn="0" w:noHBand="0" w:noVBand="1"/>
      </w:tblPr>
      <w:tblGrid>
        <w:gridCol w:w="2831"/>
        <w:gridCol w:w="4257"/>
      </w:tblGrid>
      <w:tr w:rsidR="001454B0" w:rsidRPr="001454B0" w14:paraId="2CDBA405" w14:textId="77777777" w:rsidTr="00D30366">
        <w:trPr>
          <w:trHeight w:val="678"/>
          <w:jc w:val="center"/>
        </w:trPr>
        <w:tc>
          <w:tcPr>
            <w:tcW w:w="2831" w:type="dxa"/>
            <w:tcBorders>
              <w:top w:val="single" w:sz="4" w:space="0" w:color="auto"/>
              <w:left w:val="single" w:sz="4" w:space="0" w:color="auto"/>
              <w:right w:val="single" w:sz="4" w:space="0" w:color="auto"/>
            </w:tcBorders>
            <w:shd w:val="clear" w:color="auto" w:fill="F2F2F2" w:themeFill="background1" w:themeFillShade="F2"/>
            <w:noWrap/>
            <w:vAlign w:val="bottom"/>
            <w:hideMark/>
          </w:tcPr>
          <w:p w14:paraId="107279FC" w14:textId="77777777" w:rsidR="001454B0" w:rsidRPr="001454B0" w:rsidRDefault="001454B0" w:rsidP="001454B0">
            <w:pPr>
              <w:rPr>
                <w:rFonts w:ascii="Arial" w:eastAsia="Times New Roman" w:hAnsi="Arial" w:cs="Arial"/>
                <w:b/>
                <w:bCs/>
                <w:color w:val="000000"/>
                <w:lang w:eastAsia="mk-MK"/>
              </w:rPr>
            </w:pPr>
            <w:r w:rsidRPr="001454B0">
              <w:rPr>
                <w:rFonts w:ascii="Arial" w:eastAsia="Times New Roman" w:hAnsi="Arial" w:cs="Arial"/>
                <w:b/>
                <w:bCs/>
                <w:color w:val="000000"/>
                <w:lang w:eastAsia="mk-MK"/>
              </w:rPr>
              <w:t xml:space="preserve">Type of oil derivative </w:t>
            </w:r>
          </w:p>
        </w:tc>
        <w:tc>
          <w:tcPr>
            <w:tcW w:w="4257" w:type="dxa"/>
            <w:tcBorders>
              <w:top w:val="single" w:sz="4" w:space="0" w:color="auto"/>
              <w:left w:val="nil"/>
              <w:right w:val="single" w:sz="4" w:space="0" w:color="auto"/>
            </w:tcBorders>
            <w:shd w:val="clear" w:color="auto" w:fill="F2F2F2" w:themeFill="background1" w:themeFillShade="F2"/>
            <w:noWrap/>
            <w:vAlign w:val="center"/>
          </w:tcPr>
          <w:p w14:paraId="12BE62A9" w14:textId="77777777" w:rsidR="001454B0" w:rsidRPr="001454B0" w:rsidRDefault="001454B0" w:rsidP="001454B0">
            <w:pPr>
              <w:jc w:val="center"/>
              <w:rPr>
                <w:rFonts w:ascii="Arial" w:eastAsia="Times New Roman" w:hAnsi="Arial" w:cs="Arial"/>
                <w:b/>
                <w:bCs/>
                <w:color w:val="000000"/>
                <w:lang w:eastAsia="mk-MK"/>
              </w:rPr>
            </w:pPr>
            <w:r w:rsidRPr="001454B0">
              <w:rPr>
                <w:rFonts w:ascii="Arial" w:eastAsia="Times New Roman" w:hAnsi="Arial" w:cs="Arial"/>
                <w:b/>
                <w:bCs/>
                <w:color w:val="000000"/>
                <w:lang w:eastAsia="mk-MK"/>
              </w:rPr>
              <w:t xml:space="preserve">Predicted/expected level of reserves on 12/31/2025 </w:t>
            </w:r>
          </w:p>
        </w:tc>
      </w:tr>
      <w:tr w:rsidR="001454B0" w:rsidRPr="001454B0" w14:paraId="6277C079" w14:textId="77777777" w:rsidTr="00D30366">
        <w:trPr>
          <w:trHeight w:val="356"/>
          <w:jc w:val="center"/>
        </w:trPr>
        <w:tc>
          <w:tcPr>
            <w:tcW w:w="2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301742"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Motor gasoline</w:t>
            </w:r>
          </w:p>
        </w:tc>
        <w:tc>
          <w:tcPr>
            <w:tcW w:w="4257" w:type="dxa"/>
            <w:tcBorders>
              <w:top w:val="single" w:sz="4" w:space="0" w:color="auto"/>
              <w:left w:val="nil"/>
              <w:bottom w:val="single" w:sz="4" w:space="0" w:color="auto"/>
              <w:right w:val="single" w:sz="4" w:space="0" w:color="auto"/>
            </w:tcBorders>
            <w:shd w:val="clear" w:color="auto" w:fill="auto"/>
            <w:noWrap/>
            <w:vAlign w:val="bottom"/>
          </w:tcPr>
          <w:p w14:paraId="2CF8DE5F"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24,2</w:t>
            </w:r>
          </w:p>
        </w:tc>
      </w:tr>
      <w:tr w:rsidR="001454B0" w:rsidRPr="001454B0" w14:paraId="187762AA" w14:textId="77777777" w:rsidTr="00D30366">
        <w:trPr>
          <w:trHeight w:val="356"/>
          <w:jc w:val="center"/>
        </w:trPr>
        <w:tc>
          <w:tcPr>
            <w:tcW w:w="2831" w:type="dxa"/>
            <w:tcBorders>
              <w:top w:val="nil"/>
              <w:left w:val="single" w:sz="4" w:space="0" w:color="auto"/>
              <w:bottom w:val="single" w:sz="4" w:space="0" w:color="auto"/>
              <w:right w:val="single" w:sz="4" w:space="0" w:color="auto"/>
            </w:tcBorders>
            <w:shd w:val="clear" w:color="000000" w:fill="FFFFFF"/>
            <w:vAlign w:val="bottom"/>
            <w:hideMark/>
          </w:tcPr>
          <w:p w14:paraId="271FBEC2"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Diesel</w:t>
            </w:r>
          </w:p>
        </w:tc>
        <w:tc>
          <w:tcPr>
            <w:tcW w:w="4257" w:type="dxa"/>
            <w:tcBorders>
              <w:top w:val="nil"/>
              <w:left w:val="nil"/>
              <w:bottom w:val="single" w:sz="4" w:space="0" w:color="auto"/>
              <w:right w:val="single" w:sz="4" w:space="0" w:color="auto"/>
            </w:tcBorders>
            <w:shd w:val="clear" w:color="auto" w:fill="auto"/>
            <w:noWrap/>
            <w:vAlign w:val="bottom"/>
          </w:tcPr>
          <w:p w14:paraId="07E5DDB7"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125,9</w:t>
            </w:r>
          </w:p>
        </w:tc>
      </w:tr>
      <w:tr w:rsidR="001454B0" w:rsidRPr="001454B0" w14:paraId="03665F5B" w14:textId="77777777" w:rsidTr="00D30366">
        <w:trPr>
          <w:trHeight w:val="356"/>
          <w:jc w:val="center"/>
        </w:trPr>
        <w:tc>
          <w:tcPr>
            <w:tcW w:w="2831" w:type="dxa"/>
            <w:tcBorders>
              <w:top w:val="nil"/>
              <w:left w:val="single" w:sz="4" w:space="0" w:color="auto"/>
              <w:bottom w:val="single" w:sz="4" w:space="0" w:color="auto"/>
              <w:right w:val="single" w:sz="4" w:space="0" w:color="auto"/>
            </w:tcBorders>
            <w:shd w:val="clear" w:color="000000" w:fill="FFFFFF"/>
            <w:vAlign w:val="bottom"/>
            <w:hideMark/>
          </w:tcPr>
          <w:p w14:paraId="3710DB8A"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ЕL-1</w:t>
            </w:r>
          </w:p>
        </w:tc>
        <w:tc>
          <w:tcPr>
            <w:tcW w:w="4257" w:type="dxa"/>
            <w:tcBorders>
              <w:top w:val="nil"/>
              <w:left w:val="nil"/>
              <w:bottom w:val="single" w:sz="4" w:space="0" w:color="auto"/>
              <w:right w:val="single" w:sz="4" w:space="0" w:color="auto"/>
            </w:tcBorders>
            <w:shd w:val="clear" w:color="auto" w:fill="auto"/>
            <w:noWrap/>
            <w:vAlign w:val="bottom"/>
          </w:tcPr>
          <w:p w14:paraId="1CC3176D"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14,1</w:t>
            </w:r>
          </w:p>
        </w:tc>
      </w:tr>
      <w:tr w:rsidR="001454B0" w:rsidRPr="001454B0" w14:paraId="753D4B32" w14:textId="77777777" w:rsidTr="00D30366">
        <w:trPr>
          <w:trHeight w:val="356"/>
          <w:jc w:val="center"/>
        </w:trPr>
        <w:tc>
          <w:tcPr>
            <w:tcW w:w="2831" w:type="dxa"/>
            <w:tcBorders>
              <w:top w:val="nil"/>
              <w:left w:val="single" w:sz="4" w:space="0" w:color="auto"/>
              <w:bottom w:val="single" w:sz="4" w:space="0" w:color="auto"/>
              <w:right w:val="single" w:sz="4" w:space="0" w:color="auto"/>
            </w:tcBorders>
            <w:shd w:val="clear" w:color="000000" w:fill="FFFFFF"/>
            <w:vAlign w:val="bottom"/>
            <w:hideMark/>
          </w:tcPr>
          <w:p w14:paraId="0964E6BA"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Fuel oil</w:t>
            </w:r>
          </w:p>
        </w:tc>
        <w:tc>
          <w:tcPr>
            <w:tcW w:w="4257" w:type="dxa"/>
            <w:tcBorders>
              <w:top w:val="nil"/>
              <w:left w:val="nil"/>
              <w:bottom w:val="single" w:sz="4" w:space="0" w:color="auto"/>
              <w:right w:val="single" w:sz="4" w:space="0" w:color="auto"/>
            </w:tcBorders>
            <w:shd w:val="clear" w:color="auto" w:fill="auto"/>
            <w:noWrap/>
            <w:vAlign w:val="bottom"/>
          </w:tcPr>
          <w:p w14:paraId="7EF417AD"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21,5</w:t>
            </w:r>
          </w:p>
        </w:tc>
      </w:tr>
      <w:tr w:rsidR="001454B0" w:rsidRPr="001454B0" w14:paraId="782F3E21" w14:textId="77777777" w:rsidTr="00D30366">
        <w:trPr>
          <w:trHeight w:val="356"/>
          <w:jc w:val="center"/>
        </w:trPr>
        <w:tc>
          <w:tcPr>
            <w:tcW w:w="2831"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4B7AA70A" w14:textId="77777777" w:rsidR="001454B0" w:rsidRPr="001454B0" w:rsidRDefault="001454B0" w:rsidP="001454B0">
            <w:pPr>
              <w:rPr>
                <w:rFonts w:ascii="Arial" w:eastAsia="Times New Roman" w:hAnsi="Arial" w:cs="Arial"/>
                <w:b/>
                <w:bCs/>
                <w:color w:val="222222"/>
                <w:lang w:eastAsia="mk-MK"/>
              </w:rPr>
            </w:pPr>
            <w:r w:rsidRPr="001454B0">
              <w:rPr>
                <w:rFonts w:ascii="Arial" w:eastAsia="Times New Roman" w:hAnsi="Arial" w:cs="Arial"/>
                <w:b/>
                <w:bCs/>
                <w:color w:val="222222"/>
                <w:lang w:eastAsia="mk-MK"/>
              </w:rPr>
              <w:t xml:space="preserve">Total </w:t>
            </w:r>
          </w:p>
        </w:tc>
        <w:tc>
          <w:tcPr>
            <w:tcW w:w="4257" w:type="dxa"/>
            <w:tcBorders>
              <w:top w:val="nil"/>
              <w:left w:val="nil"/>
              <w:bottom w:val="single" w:sz="4" w:space="0" w:color="auto"/>
              <w:right w:val="single" w:sz="4" w:space="0" w:color="auto"/>
            </w:tcBorders>
            <w:shd w:val="clear" w:color="auto" w:fill="F2F2F2" w:themeFill="background1" w:themeFillShade="F2"/>
            <w:noWrap/>
            <w:vAlign w:val="bottom"/>
          </w:tcPr>
          <w:p w14:paraId="3B66F76F" w14:textId="77777777" w:rsidR="001454B0" w:rsidRPr="001454B0" w:rsidRDefault="001454B0" w:rsidP="001454B0">
            <w:pPr>
              <w:jc w:val="right"/>
              <w:rPr>
                <w:rFonts w:ascii="Arial" w:eastAsia="Times New Roman" w:hAnsi="Arial" w:cs="Arial"/>
                <w:b/>
                <w:bCs/>
                <w:color w:val="222222"/>
                <w:lang w:eastAsia="mk-MK"/>
              </w:rPr>
            </w:pPr>
            <w:r w:rsidRPr="001454B0">
              <w:rPr>
                <w:rFonts w:ascii="Arial" w:eastAsia="Times New Roman" w:hAnsi="Arial" w:cs="Arial"/>
                <w:b/>
                <w:bCs/>
                <w:color w:val="222222"/>
                <w:lang w:eastAsia="mk-MK"/>
              </w:rPr>
              <w:t>185,7</w:t>
            </w:r>
          </w:p>
        </w:tc>
      </w:tr>
    </w:tbl>
    <w:p w14:paraId="476F6BE7" w14:textId="77777777" w:rsidR="001454B0" w:rsidRPr="001454B0" w:rsidRDefault="001454B0" w:rsidP="001454B0">
      <w:pPr>
        <w:pStyle w:val="Default"/>
        <w:ind w:left="426" w:right="369"/>
        <w:rPr>
          <w:rFonts w:ascii="Arial" w:hAnsi="Arial" w:cs="Arial"/>
          <w:i/>
          <w:sz w:val="22"/>
          <w:szCs w:val="22"/>
        </w:rPr>
      </w:pPr>
      <w:r w:rsidRPr="001454B0">
        <w:rPr>
          <w:rFonts w:ascii="Arial" w:hAnsi="Arial" w:cs="Arial"/>
          <w:sz w:val="22"/>
          <w:szCs w:val="22"/>
        </w:rPr>
        <w:fldChar w:fldCharType="end"/>
      </w:r>
      <w:r w:rsidRPr="001454B0">
        <w:rPr>
          <w:rFonts w:ascii="Arial" w:hAnsi="Arial" w:cs="Arial"/>
          <w:i/>
          <w:sz w:val="22"/>
          <w:szCs w:val="22"/>
          <w:lang w:val="en-US"/>
        </w:rPr>
        <w:t xml:space="preserve"> Source</w:t>
      </w:r>
      <w:r w:rsidRPr="001454B0">
        <w:rPr>
          <w:rFonts w:ascii="Arial" w:hAnsi="Arial" w:cs="Arial"/>
          <w:i/>
          <w:sz w:val="22"/>
          <w:szCs w:val="22"/>
        </w:rPr>
        <w:t xml:space="preserve">: </w:t>
      </w:r>
      <w:r w:rsidRPr="001454B0">
        <w:rPr>
          <w:rFonts w:ascii="Arial" w:hAnsi="Arial" w:cs="Arial"/>
          <w:i/>
          <w:iCs/>
          <w:sz w:val="22"/>
          <w:szCs w:val="22"/>
        </w:rPr>
        <w:t>Action plan for the establishment of compulsory reserves</w:t>
      </w:r>
      <w:r w:rsidRPr="001454B0">
        <w:rPr>
          <w:rFonts w:ascii="Arial" w:hAnsi="Arial" w:cs="Arial"/>
          <w:sz w:val="22"/>
          <w:szCs w:val="22"/>
          <w:lang w:val="en-US"/>
        </w:rPr>
        <w:t xml:space="preserve"> </w:t>
      </w:r>
      <w:r w:rsidRPr="001454B0">
        <w:rPr>
          <w:rFonts w:ascii="Arial" w:hAnsi="Arial" w:cs="Arial"/>
          <w:i/>
          <w:iCs/>
          <w:sz w:val="22"/>
          <w:szCs w:val="22"/>
        </w:rPr>
        <w:t>2023-2025</w:t>
      </w:r>
      <w:r w:rsidRPr="001454B0">
        <w:rPr>
          <w:rFonts w:ascii="Arial" w:hAnsi="Arial" w:cs="Arial"/>
          <w:i/>
          <w:sz w:val="22"/>
          <w:szCs w:val="22"/>
        </w:rPr>
        <w:t xml:space="preserve">, </w:t>
      </w:r>
      <w:r w:rsidRPr="001454B0">
        <w:rPr>
          <w:rFonts w:ascii="Arial" w:hAnsi="Arial" w:cs="Arial"/>
          <w:i/>
          <w:iCs/>
          <w:color w:val="auto"/>
          <w:sz w:val="22"/>
          <w:szCs w:val="22"/>
          <w:lang w:val="en-US"/>
        </w:rPr>
        <w:t>Official Gazette</w:t>
      </w:r>
      <w:r w:rsidRPr="001454B0">
        <w:rPr>
          <w:rFonts w:ascii="Arial" w:hAnsi="Arial" w:cs="Arial"/>
          <w:i/>
          <w:iCs/>
          <w:sz w:val="22"/>
          <w:szCs w:val="22"/>
          <w:lang w:val="en-US"/>
        </w:rPr>
        <w:t xml:space="preserve"> </w:t>
      </w:r>
      <w:r w:rsidRPr="001454B0">
        <w:rPr>
          <w:rFonts w:ascii="Arial" w:hAnsi="Arial" w:cs="Arial"/>
          <w:i/>
          <w:iCs/>
          <w:sz w:val="22"/>
          <w:szCs w:val="22"/>
        </w:rPr>
        <w:t>of</w:t>
      </w:r>
      <w:r w:rsidRPr="001454B0">
        <w:rPr>
          <w:rFonts w:ascii="Arial" w:hAnsi="Arial" w:cs="Arial"/>
          <w:i/>
          <w:iCs/>
          <w:color w:val="auto"/>
          <w:sz w:val="22"/>
          <w:szCs w:val="22"/>
          <w:lang w:val="en-US"/>
        </w:rPr>
        <w:t xml:space="preserve"> the Republic of </w:t>
      </w:r>
      <w:r w:rsidRPr="001454B0">
        <w:rPr>
          <w:rFonts w:ascii="Arial" w:hAnsi="Arial" w:cs="Arial"/>
          <w:i/>
          <w:iCs/>
          <w:sz w:val="22"/>
          <w:szCs w:val="22"/>
          <w:lang w:val="en-US"/>
        </w:rPr>
        <w:t xml:space="preserve">North </w:t>
      </w:r>
      <w:r w:rsidRPr="001454B0">
        <w:rPr>
          <w:rFonts w:ascii="Arial" w:hAnsi="Arial" w:cs="Arial"/>
          <w:i/>
          <w:iCs/>
          <w:color w:val="auto"/>
          <w:sz w:val="22"/>
          <w:szCs w:val="22"/>
          <w:lang w:val="en-US"/>
        </w:rPr>
        <w:t>Macedonia</w:t>
      </w:r>
      <w:r w:rsidRPr="001454B0">
        <w:rPr>
          <w:rFonts w:ascii="Arial" w:hAnsi="Arial" w:cs="Arial"/>
          <w:i/>
          <w:iCs/>
          <w:sz w:val="22"/>
          <w:szCs w:val="22"/>
          <w:lang w:val="en-US"/>
        </w:rPr>
        <w:t xml:space="preserve"> no</w:t>
      </w:r>
      <w:r w:rsidRPr="001454B0">
        <w:rPr>
          <w:rFonts w:ascii="Arial" w:hAnsi="Arial" w:cs="Arial"/>
          <w:i/>
          <w:iCs/>
          <w:sz w:val="22"/>
          <w:szCs w:val="22"/>
        </w:rPr>
        <w:t>. 33/23</w:t>
      </w:r>
    </w:p>
    <w:p w14:paraId="188B56C2" w14:textId="77777777" w:rsidR="001454B0" w:rsidRPr="001454B0" w:rsidRDefault="001454B0" w:rsidP="001454B0">
      <w:pPr>
        <w:pStyle w:val="Default"/>
        <w:ind w:left="426" w:right="369"/>
        <w:rPr>
          <w:rFonts w:ascii="Arial" w:hAnsi="Arial" w:cs="Arial"/>
          <w:sz w:val="22"/>
          <w:szCs w:val="22"/>
          <w:lang w:val="en-US"/>
        </w:rPr>
      </w:pPr>
    </w:p>
    <w:p w14:paraId="348C2226" w14:textId="77777777" w:rsidR="001454B0" w:rsidRPr="001454B0" w:rsidRDefault="001454B0" w:rsidP="001454B0">
      <w:pPr>
        <w:pStyle w:val="Default"/>
        <w:ind w:right="-22" w:firstLine="720"/>
        <w:jc w:val="both"/>
        <w:rPr>
          <w:rFonts w:ascii="Arial" w:hAnsi="Arial" w:cs="Arial"/>
          <w:sz w:val="22"/>
          <w:szCs w:val="22"/>
          <w:lang w:val="en-US"/>
        </w:rPr>
      </w:pPr>
    </w:p>
    <w:p w14:paraId="7F06E531" w14:textId="77777777" w:rsidR="001454B0" w:rsidRPr="001454B0" w:rsidRDefault="001454B0" w:rsidP="001454B0">
      <w:pPr>
        <w:pStyle w:val="Default"/>
        <w:ind w:right="-22" w:firstLine="720"/>
        <w:jc w:val="both"/>
        <w:rPr>
          <w:rFonts w:ascii="Arial" w:hAnsi="Arial" w:cs="Arial"/>
          <w:sz w:val="22"/>
          <w:szCs w:val="22"/>
          <w:lang w:val="en-US"/>
        </w:rPr>
      </w:pPr>
      <w:r w:rsidRPr="001454B0">
        <w:rPr>
          <w:rFonts w:ascii="Arial" w:hAnsi="Arial" w:cs="Arial"/>
          <w:sz w:val="22"/>
          <w:szCs w:val="22"/>
          <w:lang w:val="en-US"/>
        </w:rPr>
        <w:t>Table No. 5 shows the predicted level of reserves by individual oil derivatives in ktons. As can be ascertained from the table itself, the largest amounts of the compulsory oil reserves are expected to be procured for diesel, because this derivative has the highest consumption in Macedonia.</w:t>
      </w:r>
    </w:p>
    <w:p w14:paraId="46937D64" w14:textId="77777777" w:rsidR="001454B0" w:rsidRPr="001454B0" w:rsidRDefault="001454B0" w:rsidP="001454B0">
      <w:pPr>
        <w:pStyle w:val="Default"/>
        <w:ind w:left="283" w:right="369" w:firstLine="437"/>
        <w:jc w:val="both"/>
        <w:rPr>
          <w:rFonts w:ascii="Arial" w:hAnsi="Arial" w:cs="Arial"/>
          <w:sz w:val="22"/>
          <w:szCs w:val="22"/>
          <w:lang w:val="en-US"/>
        </w:rPr>
      </w:pPr>
    </w:p>
    <w:p w14:paraId="4C86A364" w14:textId="77777777" w:rsidR="001454B0" w:rsidRPr="001454B0" w:rsidRDefault="001454B0" w:rsidP="001454B0">
      <w:pPr>
        <w:jc w:val="both"/>
        <w:rPr>
          <w:rFonts w:ascii="Arial" w:hAnsi="Arial" w:cs="Arial"/>
          <w:b/>
        </w:rPr>
      </w:pPr>
      <w:r w:rsidRPr="001454B0">
        <w:rPr>
          <w:rFonts w:ascii="Arial" w:hAnsi="Arial" w:cs="Arial"/>
          <w:b/>
        </w:rPr>
        <w:t xml:space="preserve">Table 6: </w:t>
      </w:r>
      <w:r w:rsidRPr="001454B0">
        <w:rPr>
          <w:rFonts w:ascii="Arial" w:hAnsi="Arial" w:cs="Arial"/>
        </w:rPr>
        <w:t>Level of compulsory reserves for the period 2023-2025 (in kton)</w:t>
      </w:r>
    </w:p>
    <w:p w14:paraId="64370479" w14:textId="77777777" w:rsidR="001454B0" w:rsidRPr="001454B0" w:rsidRDefault="001454B0" w:rsidP="001454B0">
      <w:pPr>
        <w:jc w:val="both"/>
        <w:rPr>
          <w:rFonts w:ascii="Arial" w:hAnsi="Arial" w:cs="Arial"/>
        </w:rPr>
      </w:pPr>
      <w:r w:rsidRPr="001454B0">
        <w:rPr>
          <w:rFonts w:ascii="Arial" w:hAnsi="Arial" w:cs="Arial"/>
        </w:rPr>
        <w:fldChar w:fldCharType="begin"/>
      </w:r>
      <w:r w:rsidRPr="001454B0">
        <w:rPr>
          <w:rFonts w:ascii="Arial" w:hAnsi="Arial" w:cs="Arial"/>
        </w:rPr>
        <w:instrText xml:space="preserve"> LINK Excel.Sheet.12 "F:\\AP VLASTO\\ap_12.11.xlsx" "сценарио 1!R12C1:R17C5" \a \f 4 \h  \* MERGEFORMAT </w:instrText>
      </w:r>
      <w:r w:rsidRPr="001454B0">
        <w:rPr>
          <w:rFonts w:ascii="Arial" w:hAnsi="Arial" w:cs="Arial"/>
        </w:rPr>
        <w:fldChar w:fldCharType="separate"/>
      </w:r>
    </w:p>
    <w:tbl>
      <w:tblPr>
        <w:tblpPr w:leftFromText="180" w:rightFromText="180" w:vertAnchor="text" w:tblpY="1"/>
        <w:tblOverlap w:val="never"/>
        <w:tblW w:w="7395" w:type="dxa"/>
        <w:tblLook w:val="04A0" w:firstRow="1" w:lastRow="0" w:firstColumn="1" w:lastColumn="0" w:noHBand="0" w:noVBand="1"/>
      </w:tblPr>
      <w:tblGrid>
        <w:gridCol w:w="2355"/>
        <w:gridCol w:w="1620"/>
        <w:gridCol w:w="1710"/>
        <w:gridCol w:w="1710"/>
      </w:tblGrid>
      <w:tr w:rsidR="001454B0" w:rsidRPr="001454B0" w14:paraId="5990C500" w14:textId="77777777" w:rsidTr="00D30366">
        <w:trPr>
          <w:trHeight w:val="300"/>
        </w:trPr>
        <w:tc>
          <w:tcPr>
            <w:tcW w:w="2355" w:type="dxa"/>
            <w:vMerge w:val="restart"/>
            <w:tcBorders>
              <w:top w:val="single" w:sz="4" w:space="0" w:color="auto"/>
              <w:left w:val="single" w:sz="4" w:space="0" w:color="auto"/>
              <w:right w:val="single" w:sz="4" w:space="0" w:color="auto"/>
            </w:tcBorders>
            <w:shd w:val="clear" w:color="auto" w:fill="F2F2F2" w:themeFill="background1" w:themeFillShade="F2"/>
            <w:noWrap/>
            <w:vAlign w:val="bottom"/>
            <w:hideMark/>
          </w:tcPr>
          <w:p w14:paraId="2DB38B4C" w14:textId="77777777" w:rsidR="001454B0" w:rsidRPr="001454B0" w:rsidRDefault="001454B0" w:rsidP="001454B0">
            <w:pPr>
              <w:jc w:val="center"/>
              <w:rPr>
                <w:rFonts w:ascii="Arial" w:eastAsia="Times New Roman" w:hAnsi="Arial" w:cs="Arial"/>
                <w:b/>
                <w:bCs/>
                <w:color w:val="000000"/>
                <w:lang w:eastAsia="mk-MK"/>
              </w:rPr>
            </w:pPr>
            <w:r w:rsidRPr="001454B0">
              <w:rPr>
                <w:rFonts w:ascii="Arial" w:eastAsia="Times New Roman" w:hAnsi="Arial" w:cs="Arial"/>
                <w:b/>
                <w:bCs/>
                <w:color w:val="000000"/>
                <w:lang w:eastAsia="mk-MK"/>
              </w:rPr>
              <w:t>Type of oil derivative</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BF3A751" w14:textId="77777777" w:rsidR="001454B0" w:rsidRPr="001454B0" w:rsidRDefault="001454B0" w:rsidP="001454B0">
            <w:pPr>
              <w:jc w:val="center"/>
              <w:rPr>
                <w:rFonts w:ascii="Arial" w:eastAsia="Times New Roman" w:hAnsi="Arial" w:cs="Arial"/>
                <w:b/>
                <w:color w:val="000000"/>
                <w:lang w:eastAsia="mk-MK"/>
              </w:rPr>
            </w:pPr>
            <w:r w:rsidRPr="001454B0">
              <w:rPr>
                <w:rFonts w:ascii="Arial" w:eastAsia="Times New Roman" w:hAnsi="Arial" w:cs="Arial"/>
                <w:b/>
                <w:color w:val="000000"/>
                <w:lang w:eastAsia="mk-MK"/>
              </w:rPr>
              <w:t>Realized</w:t>
            </w:r>
          </w:p>
        </w:tc>
        <w:tc>
          <w:tcPr>
            <w:tcW w:w="342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66BDEC" w14:textId="77777777" w:rsidR="001454B0" w:rsidRPr="001454B0" w:rsidRDefault="001454B0" w:rsidP="001454B0">
            <w:pPr>
              <w:jc w:val="center"/>
              <w:rPr>
                <w:rFonts w:ascii="Arial" w:eastAsia="Times New Roman" w:hAnsi="Arial" w:cs="Arial"/>
                <w:b/>
                <w:bCs/>
                <w:color w:val="000000"/>
                <w:lang w:eastAsia="mk-MK"/>
              </w:rPr>
            </w:pPr>
            <w:r w:rsidRPr="001454B0">
              <w:rPr>
                <w:rFonts w:ascii="Arial" w:eastAsia="Times New Roman" w:hAnsi="Arial" w:cs="Arial"/>
                <w:b/>
                <w:bCs/>
                <w:color w:val="000000"/>
                <w:lang w:eastAsia="mk-MK"/>
              </w:rPr>
              <w:t>Anticipated/expected to</w:t>
            </w:r>
          </w:p>
        </w:tc>
      </w:tr>
      <w:tr w:rsidR="001454B0" w:rsidRPr="001454B0" w14:paraId="1151A387" w14:textId="77777777" w:rsidTr="00D30366">
        <w:trPr>
          <w:trHeight w:val="300"/>
        </w:trPr>
        <w:tc>
          <w:tcPr>
            <w:tcW w:w="2355" w:type="dxa"/>
            <w:vMerge/>
            <w:tcBorders>
              <w:left w:val="single" w:sz="4" w:space="0" w:color="auto"/>
              <w:bottom w:val="single" w:sz="4" w:space="0" w:color="auto"/>
              <w:right w:val="single" w:sz="4" w:space="0" w:color="auto"/>
            </w:tcBorders>
            <w:shd w:val="clear" w:color="auto" w:fill="F2F2F2" w:themeFill="background1" w:themeFillShade="F2"/>
            <w:noWrap/>
            <w:vAlign w:val="bottom"/>
            <w:hideMark/>
          </w:tcPr>
          <w:p w14:paraId="21E268AB" w14:textId="77777777" w:rsidR="001454B0" w:rsidRPr="001454B0" w:rsidRDefault="001454B0" w:rsidP="001454B0">
            <w:pPr>
              <w:rPr>
                <w:rFonts w:ascii="Arial" w:eastAsia="Times New Roman" w:hAnsi="Arial" w:cs="Arial"/>
                <w:color w:val="000000"/>
                <w:lang w:eastAsia="mk-MK"/>
              </w:rPr>
            </w:pP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5D62F88" w14:textId="77777777" w:rsidR="001454B0" w:rsidRPr="001454B0" w:rsidRDefault="001454B0" w:rsidP="001454B0">
            <w:pPr>
              <w:jc w:val="center"/>
              <w:rPr>
                <w:rFonts w:ascii="Arial" w:eastAsia="Times New Roman" w:hAnsi="Arial" w:cs="Arial"/>
                <w:b/>
                <w:color w:val="000000"/>
                <w:lang w:eastAsia="mk-MK"/>
              </w:rPr>
            </w:pPr>
            <w:r w:rsidRPr="001454B0">
              <w:rPr>
                <w:rFonts w:ascii="Arial" w:eastAsia="Times New Roman" w:hAnsi="Arial" w:cs="Arial"/>
                <w:b/>
                <w:color w:val="000000"/>
                <w:lang w:eastAsia="mk-MK"/>
              </w:rPr>
              <w:t>Reserve level in 2022</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4EA2BDB" w14:textId="77777777" w:rsidR="001454B0" w:rsidRPr="001454B0" w:rsidRDefault="001454B0" w:rsidP="001454B0">
            <w:pPr>
              <w:jc w:val="center"/>
              <w:rPr>
                <w:rFonts w:ascii="Arial" w:eastAsia="Times New Roman" w:hAnsi="Arial" w:cs="Arial"/>
                <w:b/>
                <w:bCs/>
                <w:color w:val="000000"/>
                <w:lang w:eastAsia="mk-MK"/>
              </w:rPr>
            </w:pPr>
            <w:r w:rsidRPr="001454B0">
              <w:rPr>
                <w:rFonts w:ascii="Arial" w:eastAsia="Times New Roman" w:hAnsi="Arial" w:cs="Arial"/>
                <w:b/>
                <w:bCs/>
                <w:color w:val="000000"/>
                <w:lang w:eastAsia="mk-MK"/>
              </w:rPr>
              <w:t>Planned for procurement in the period 2023-2025</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6A133EC" w14:textId="77777777" w:rsidR="001454B0" w:rsidRPr="001454B0" w:rsidRDefault="001454B0" w:rsidP="001454B0">
            <w:pPr>
              <w:jc w:val="center"/>
              <w:rPr>
                <w:rFonts w:ascii="Arial" w:eastAsia="Times New Roman" w:hAnsi="Arial" w:cs="Arial"/>
                <w:b/>
                <w:bCs/>
                <w:color w:val="000000"/>
                <w:lang w:eastAsia="mk-MK"/>
              </w:rPr>
            </w:pPr>
            <w:r w:rsidRPr="001454B0">
              <w:rPr>
                <w:rFonts w:ascii="Arial" w:eastAsia="Times New Roman" w:hAnsi="Arial" w:cs="Arial"/>
                <w:b/>
                <w:color w:val="000000"/>
                <w:lang w:eastAsia="mk-MK"/>
              </w:rPr>
              <w:t>Reserve level in 2025</w:t>
            </w:r>
          </w:p>
        </w:tc>
      </w:tr>
      <w:tr w:rsidR="001454B0" w:rsidRPr="001454B0" w14:paraId="30B2FDDF" w14:textId="77777777" w:rsidTr="00D30366">
        <w:trPr>
          <w:trHeight w:val="300"/>
        </w:trPr>
        <w:tc>
          <w:tcPr>
            <w:tcW w:w="235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FB2DC4"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Motor gasoline</w:t>
            </w:r>
          </w:p>
        </w:tc>
        <w:tc>
          <w:tcPr>
            <w:tcW w:w="1620" w:type="dxa"/>
            <w:tcBorders>
              <w:top w:val="single" w:sz="4" w:space="0" w:color="auto"/>
              <w:left w:val="nil"/>
              <w:bottom w:val="single" w:sz="4" w:space="0" w:color="auto"/>
              <w:right w:val="single" w:sz="4" w:space="0" w:color="auto"/>
            </w:tcBorders>
            <w:shd w:val="clear" w:color="auto" w:fill="auto"/>
            <w:noWrap/>
            <w:hideMark/>
          </w:tcPr>
          <w:p w14:paraId="561762C3"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24,2</w:t>
            </w:r>
          </w:p>
        </w:tc>
        <w:tc>
          <w:tcPr>
            <w:tcW w:w="1710" w:type="dxa"/>
            <w:tcBorders>
              <w:top w:val="single" w:sz="4" w:space="0" w:color="auto"/>
              <w:left w:val="nil"/>
              <w:bottom w:val="single" w:sz="4" w:space="0" w:color="auto"/>
              <w:right w:val="single" w:sz="4" w:space="0" w:color="auto"/>
            </w:tcBorders>
            <w:shd w:val="clear" w:color="auto" w:fill="auto"/>
            <w:noWrap/>
          </w:tcPr>
          <w:p w14:paraId="5A34B345"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0</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2CE5581"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24,2</w:t>
            </w:r>
          </w:p>
        </w:tc>
      </w:tr>
      <w:tr w:rsidR="001454B0" w:rsidRPr="001454B0" w14:paraId="03F53ABC" w14:textId="77777777" w:rsidTr="00D30366">
        <w:trPr>
          <w:trHeight w:val="300"/>
        </w:trPr>
        <w:tc>
          <w:tcPr>
            <w:tcW w:w="2355" w:type="dxa"/>
            <w:tcBorders>
              <w:top w:val="nil"/>
              <w:left w:val="single" w:sz="4" w:space="0" w:color="auto"/>
              <w:bottom w:val="single" w:sz="4" w:space="0" w:color="auto"/>
              <w:right w:val="single" w:sz="4" w:space="0" w:color="auto"/>
            </w:tcBorders>
            <w:shd w:val="clear" w:color="000000" w:fill="FFFFFF"/>
            <w:vAlign w:val="bottom"/>
            <w:hideMark/>
          </w:tcPr>
          <w:p w14:paraId="5DC21CD7"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Diesel</w:t>
            </w:r>
          </w:p>
        </w:tc>
        <w:tc>
          <w:tcPr>
            <w:tcW w:w="1620" w:type="dxa"/>
            <w:tcBorders>
              <w:top w:val="nil"/>
              <w:left w:val="nil"/>
              <w:bottom w:val="single" w:sz="4" w:space="0" w:color="auto"/>
              <w:right w:val="single" w:sz="4" w:space="0" w:color="auto"/>
            </w:tcBorders>
            <w:shd w:val="clear" w:color="auto" w:fill="auto"/>
            <w:noWrap/>
            <w:vAlign w:val="bottom"/>
            <w:hideMark/>
          </w:tcPr>
          <w:p w14:paraId="7AD95339"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97,9</w:t>
            </w:r>
          </w:p>
        </w:tc>
        <w:tc>
          <w:tcPr>
            <w:tcW w:w="1710" w:type="dxa"/>
            <w:tcBorders>
              <w:top w:val="nil"/>
              <w:left w:val="nil"/>
              <w:bottom w:val="single" w:sz="4" w:space="0" w:color="auto"/>
              <w:right w:val="single" w:sz="4" w:space="0" w:color="auto"/>
            </w:tcBorders>
            <w:shd w:val="clear" w:color="auto" w:fill="auto"/>
            <w:noWrap/>
            <w:vAlign w:val="bottom"/>
          </w:tcPr>
          <w:p w14:paraId="7E5A99DB"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28</w:t>
            </w:r>
          </w:p>
        </w:tc>
        <w:tc>
          <w:tcPr>
            <w:tcW w:w="1710" w:type="dxa"/>
            <w:tcBorders>
              <w:top w:val="nil"/>
              <w:left w:val="nil"/>
              <w:bottom w:val="single" w:sz="4" w:space="0" w:color="auto"/>
              <w:right w:val="single" w:sz="4" w:space="0" w:color="auto"/>
            </w:tcBorders>
            <w:shd w:val="clear" w:color="auto" w:fill="auto"/>
            <w:noWrap/>
            <w:vAlign w:val="bottom"/>
          </w:tcPr>
          <w:p w14:paraId="74CD52FA"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125,9</w:t>
            </w:r>
          </w:p>
        </w:tc>
      </w:tr>
      <w:tr w:rsidR="001454B0" w:rsidRPr="001454B0" w14:paraId="7CE02670" w14:textId="77777777" w:rsidTr="00D30366">
        <w:trPr>
          <w:trHeight w:val="300"/>
        </w:trPr>
        <w:tc>
          <w:tcPr>
            <w:tcW w:w="2355" w:type="dxa"/>
            <w:tcBorders>
              <w:top w:val="nil"/>
              <w:left w:val="single" w:sz="4" w:space="0" w:color="auto"/>
              <w:bottom w:val="single" w:sz="4" w:space="0" w:color="auto"/>
              <w:right w:val="single" w:sz="4" w:space="0" w:color="auto"/>
            </w:tcBorders>
            <w:shd w:val="clear" w:color="000000" w:fill="FFFFFF"/>
            <w:vAlign w:val="bottom"/>
            <w:hideMark/>
          </w:tcPr>
          <w:p w14:paraId="71DADFCA"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ЕL-1</w:t>
            </w:r>
          </w:p>
        </w:tc>
        <w:tc>
          <w:tcPr>
            <w:tcW w:w="1620" w:type="dxa"/>
            <w:tcBorders>
              <w:top w:val="nil"/>
              <w:left w:val="nil"/>
              <w:bottom w:val="single" w:sz="4" w:space="0" w:color="auto"/>
              <w:right w:val="single" w:sz="4" w:space="0" w:color="auto"/>
            </w:tcBorders>
            <w:shd w:val="clear" w:color="auto" w:fill="auto"/>
            <w:noWrap/>
            <w:vAlign w:val="bottom"/>
            <w:hideMark/>
          </w:tcPr>
          <w:p w14:paraId="74C829A3"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9,1</w:t>
            </w:r>
          </w:p>
        </w:tc>
        <w:tc>
          <w:tcPr>
            <w:tcW w:w="1710" w:type="dxa"/>
            <w:tcBorders>
              <w:top w:val="nil"/>
              <w:left w:val="nil"/>
              <w:bottom w:val="single" w:sz="4" w:space="0" w:color="auto"/>
              <w:right w:val="single" w:sz="4" w:space="0" w:color="auto"/>
            </w:tcBorders>
            <w:shd w:val="clear" w:color="auto" w:fill="auto"/>
            <w:noWrap/>
            <w:vAlign w:val="bottom"/>
          </w:tcPr>
          <w:p w14:paraId="3DF249BA"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5</w:t>
            </w:r>
          </w:p>
        </w:tc>
        <w:tc>
          <w:tcPr>
            <w:tcW w:w="1710" w:type="dxa"/>
            <w:tcBorders>
              <w:top w:val="nil"/>
              <w:left w:val="nil"/>
              <w:bottom w:val="single" w:sz="4" w:space="0" w:color="auto"/>
              <w:right w:val="single" w:sz="4" w:space="0" w:color="auto"/>
            </w:tcBorders>
            <w:shd w:val="clear" w:color="auto" w:fill="auto"/>
            <w:noWrap/>
            <w:vAlign w:val="bottom"/>
          </w:tcPr>
          <w:p w14:paraId="1303339F"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14,1</w:t>
            </w:r>
          </w:p>
        </w:tc>
      </w:tr>
      <w:tr w:rsidR="001454B0" w:rsidRPr="001454B0" w14:paraId="0A06AA77" w14:textId="77777777" w:rsidTr="00D30366">
        <w:trPr>
          <w:trHeight w:val="300"/>
        </w:trPr>
        <w:tc>
          <w:tcPr>
            <w:tcW w:w="2355" w:type="dxa"/>
            <w:tcBorders>
              <w:top w:val="nil"/>
              <w:left w:val="single" w:sz="4" w:space="0" w:color="auto"/>
              <w:bottom w:val="single" w:sz="4" w:space="0" w:color="auto"/>
              <w:right w:val="single" w:sz="4" w:space="0" w:color="auto"/>
            </w:tcBorders>
            <w:shd w:val="clear" w:color="000000" w:fill="FFFFFF"/>
            <w:vAlign w:val="bottom"/>
            <w:hideMark/>
          </w:tcPr>
          <w:p w14:paraId="3E2F820F" w14:textId="77777777" w:rsidR="001454B0" w:rsidRPr="001454B0" w:rsidRDefault="001454B0" w:rsidP="001454B0">
            <w:pPr>
              <w:rPr>
                <w:rFonts w:ascii="Arial" w:eastAsia="Times New Roman" w:hAnsi="Arial" w:cs="Arial"/>
                <w:color w:val="222222"/>
                <w:lang w:eastAsia="mk-MK"/>
              </w:rPr>
            </w:pPr>
            <w:r w:rsidRPr="001454B0">
              <w:rPr>
                <w:rFonts w:ascii="Arial" w:eastAsia="Times New Roman" w:hAnsi="Arial" w:cs="Arial"/>
                <w:color w:val="222222"/>
                <w:lang w:eastAsia="mk-MK"/>
              </w:rPr>
              <w:t>Fuel oil</w:t>
            </w:r>
          </w:p>
        </w:tc>
        <w:tc>
          <w:tcPr>
            <w:tcW w:w="1620" w:type="dxa"/>
            <w:tcBorders>
              <w:top w:val="nil"/>
              <w:left w:val="nil"/>
              <w:bottom w:val="single" w:sz="4" w:space="0" w:color="auto"/>
              <w:right w:val="single" w:sz="4" w:space="0" w:color="auto"/>
            </w:tcBorders>
            <w:shd w:val="clear" w:color="auto" w:fill="auto"/>
            <w:noWrap/>
            <w:vAlign w:val="bottom"/>
            <w:hideMark/>
          </w:tcPr>
          <w:p w14:paraId="3F9D5E87"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21,5</w:t>
            </w:r>
          </w:p>
        </w:tc>
        <w:tc>
          <w:tcPr>
            <w:tcW w:w="1710" w:type="dxa"/>
            <w:tcBorders>
              <w:top w:val="nil"/>
              <w:left w:val="nil"/>
              <w:bottom w:val="single" w:sz="4" w:space="0" w:color="auto"/>
              <w:right w:val="single" w:sz="4" w:space="0" w:color="auto"/>
            </w:tcBorders>
            <w:shd w:val="clear" w:color="auto" w:fill="auto"/>
            <w:noWrap/>
            <w:vAlign w:val="bottom"/>
          </w:tcPr>
          <w:p w14:paraId="13403C29"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0</w:t>
            </w:r>
          </w:p>
        </w:tc>
        <w:tc>
          <w:tcPr>
            <w:tcW w:w="1710" w:type="dxa"/>
            <w:tcBorders>
              <w:top w:val="nil"/>
              <w:left w:val="nil"/>
              <w:bottom w:val="single" w:sz="4" w:space="0" w:color="auto"/>
              <w:right w:val="single" w:sz="4" w:space="0" w:color="auto"/>
            </w:tcBorders>
            <w:shd w:val="clear" w:color="auto" w:fill="auto"/>
            <w:noWrap/>
            <w:vAlign w:val="bottom"/>
          </w:tcPr>
          <w:p w14:paraId="22509F94"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21,5</w:t>
            </w:r>
          </w:p>
        </w:tc>
      </w:tr>
      <w:tr w:rsidR="001454B0" w:rsidRPr="001454B0" w14:paraId="5F6B3BA3" w14:textId="77777777" w:rsidTr="00D30366">
        <w:trPr>
          <w:trHeight w:val="300"/>
        </w:trPr>
        <w:tc>
          <w:tcPr>
            <w:tcW w:w="2355"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3CC64576" w14:textId="77777777" w:rsidR="001454B0" w:rsidRPr="001454B0" w:rsidRDefault="001454B0" w:rsidP="001454B0">
            <w:pPr>
              <w:rPr>
                <w:rFonts w:ascii="Arial" w:eastAsia="Times New Roman" w:hAnsi="Arial" w:cs="Arial"/>
                <w:b/>
                <w:bCs/>
                <w:color w:val="222222"/>
                <w:lang w:eastAsia="mk-MK"/>
              </w:rPr>
            </w:pPr>
            <w:r w:rsidRPr="001454B0">
              <w:rPr>
                <w:rFonts w:ascii="Arial" w:eastAsia="Times New Roman" w:hAnsi="Arial" w:cs="Arial"/>
                <w:b/>
                <w:bCs/>
                <w:color w:val="222222"/>
                <w:lang w:eastAsia="mk-MK"/>
              </w:rPr>
              <w:t xml:space="preserve">Total </w:t>
            </w:r>
          </w:p>
        </w:tc>
        <w:tc>
          <w:tcPr>
            <w:tcW w:w="1620" w:type="dxa"/>
            <w:tcBorders>
              <w:top w:val="nil"/>
              <w:left w:val="nil"/>
              <w:bottom w:val="single" w:sz="4" w:space="0" w:color="auto"/>
              <w:right w:val="single" w:sz="4" w:space="0" w:color="auto"/>
            </w:tcBorders>
            <w:shd w:val="clear" w:color="auto" w:fill="F2F2F2" w:themeFill="background1" w:themeFillShade="F2"/>
            <w:noWrap/>
            <w:vAlign w:val="bottom"/>
            <w:hideMark/>
          </w:tcPr>
          <w:p w14:paraId="1D639C7B"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152,7</w:t>
            </w:r>
          </w:p>
        </w:tc>
        <w:tc>
          <w:tcPr>
            <w:tcW w:w="1710" w:type="dxa"/>
            <w:tcBorders>
              <w:top w:val="nil"/>
              <w:left w:val="nil"/>
              <w:bottom w:val="single" w:sz="4" w:space="0" w:color="auto"/>
              <w:right w:val="single" w:sz="4" w:space="0" w:color="auto"/>
            </w:tcBorders>
            <w:shd w:val="clear" w:color="auto" w:fill="F2F2F2" w:themeFill="background1" w:themeFillShade="F2"/>
            <w:noWrap/>
            <w:vAlign w:val="bottom"/>
          </w:tcPr>
          <w:p w14:paraId="1176E1A5"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33</w:t>
            </w:r>
          </w:p>
        </w:tc>
        <w:tc>
          <w:tcPr>
            <w:tcW w:w="1710" w:type="dxa"/>
            <w:tcBorders>
              <w:top w:val="nil"/>
              <w:left w:val="nil"/>
              <w:bottom w:val="single" w:sz="4" w:space="0" w:color="auto"/>
              <w:right w:val="single" w:sz="4" w:space="0" w:color="auto"/>
            </w:tcBorders>
            <w:shd w:val="clear" w:color="auto" w:fill="F2F2F2" w:themeFill="background1" w:themeFillShade="F2"/>
            <w:noWrap/>
            <w:vAlign w:val="bottom"/>
          </w:tcPr>
          <w:p w14:paraId="18BB2AF2" w14:textId="77777777" w:rsidR="001454B0" w:rsidRPr="001454B0" w:rsidRDefault="001454B0" w:rsidP="001454B0">
            <w:pPr>
              <w:jc w:val="right"/>
              <w:rPr>
                <w:rFonts w:ascii="Arial" w:eastAsia="Times New Roman" w:hAnsi="Arial" w:cs="Arial"/>
                <w:color w:val="000000"/>
                <w:lang w:eastAsia="mk-MK"/>
              </w:rPr>
            </w:pPr>
            <w:r w:rsidRPr="001454B0">
              <w:rPr>
                <w:rFonts w:ascii="Arial" w:eastAsia="Times New Roman" w:hAnsi="Arial" w:cs="Arial"/>
                <w:color w:val="000000"/>
                <w:lang w:eastAsia="mk-MK"/>
              </w:rPr>
              <w:t>185,7</w:t>
            </w:r>
          </w:p>
        </w:tc>
      </w:tr>
    </w:tbl>
    <w:p w14:paraId="2FDBBF1F" w14:textId="77777777" w:rsidR="001454B0" w:rsidRPr="001454B0" w:rsidRDefault="001454B0" w:rsidP="001454B0">
      <w:pPr>
        <w:pStyle w:val="Default"/>
        <w:ind w:left="426" w:right="369"/>
        <w:rPr>
          <w:rFonts w:ascii="Arial" w:hAnsi="Arial" w:cs="Arial"/>
          <w:i/>
          <w:sz w:val="22"/>
          <w:szCs w:val="22"/>
        </w:rPr>
      </w:pPr>
      <w:r w:rsidRPr="001454B0">
        <w:rPr>
          <w:rFonts w:ascii="Arial" w:hAnsi="Arial" w:cs="Arial"/>
          <w:sz w:val="22"/>
          <w:szCs w:val="22"/>
        </w:rPr>
        <w:fldChar w:fldCharType="end"/>
      </w:r>
      <w:r w:rsidRPr="001454B0">
        <w:rPr>
          <w:rFonts w:ascii="Arial" w:hAnsi="Arial" w:cs="Arial"/>
          <w:i/>
          <w:sz w:val="22"/>
          <w:szCs w:val="22"/>
        </w:rPr>
        <w:t xml:space="preserve"> </w:t>
      </w:r>
      <w:r w:rsidRPr="001454B0">
        <w:rPr>
          <w:rFonts w:ascii="Arial" w:hAnsi="Arial" w:cs="Arial"/>
          <w:i/>
          <w:sz w:val="22"/>
          <w:szCs w:val="22"/>
          <w:lang w:val="en-US"/>
        </w:rPr>
        <w:t>Source</w:t>
      </w:r>
      <w:r w:rsidRPr="001454B0">
        <w:rPr>
          <w:rFonts w:ascii="Arial" w:hAnsi="Arial" w:cs="Arial"/>
          <w:i/>
          <w:sz w:val="22"/>
          <w:szCs w:val="22"/>
        </w:rPr>
        <w:t xml:space="preserve">: </w:t>
      </w:r>
      <w:r w:rsidRPr="001454B0">
        <w:rPr>
          <w:rFonts w:ascii="Arial" w:hAnsi="Arial" w:cs="Arial"/>
          <w:i/>
          <w:iCs/>
          <w:sz w:val="22"/>
          <w:szCs w:val="22"/>
        </w:rPr>
        <w:t xml:space="preserve">Action plan for the </w:t>
      </w:r>
      <w:r w:rsidRPr="001454B0">
        <w:rPr>
          <w:rFonts w:ascii="Arial" w:hAnsi="Arial" w:cs="Arial"/>
          <w:i/>
          <w:iCs/>
          <w:sz w:val="22"/>
          <w:szCs w:val="22"/>
        </w:rPr>
        <w:lastRenderedPageBreak/>
        <w:t>establishment of compulsory reserves</w:t>
      </w:r>
      <w:r w:rsidRPr="001454B0">
        <w:rPr>
          <w:rFonts w:ascii="Arial" w:hAnsi="Arial" w:cs="Arial"/>
          <w:sz w:val="22"/>
          <w:szCs w:val="22"/>
          <w:lang w:val="en-US"/>
        </w:rPr>
        <w:t xml:space="preserve"> </w:t>
      </w:r>
      <w:r w:rsidRPr="001454B0">
        <w:rPr>
          <w:rFonts w:ascii="Arial" w:hAnsi="Arial" w:cs="Arial"/>
          <w:i/>
          <w:iCs/>
          <w:sz w:val="22"/>
          <w:szCs w:val="22"/>
        </w:rPr>
        <w:t>2023-2025</w:t>
      </w:r>
      <w:r w:rsidRPr="001454B0">
        <w:rPr>
          <w:rFonts w:ascii="Arial" w:hAnsi="Arial" w:cs="Arial"/>
          <w:i/>
          <w:sz w:val="22"/>
          <w:szCs w:val="22"/>
        </w:rPr>
        <w:t xml:space="preserve">, </w:t>
      </w:r>
      <w:r w:rsidRPr="001454B0">
        <w:rPr>
          <w:rFonts w:ascii="Arial" w:hAnsi="Arial" w:cs="Arial"/>
          <w:i/>
          <w:iCs/>
          <w:color w:val="auto"/>
          <w:sz w:val="22"/>
          <w:szCs w:val="22"/>
          <w:lang w:val="en-US"/>
        </w:rPr>
        <w:t>Official Gazette</w:t>
      </w:r>
      <w:r w:rsidRPr="001454B0">
        <w:rPr>
          <w:rFonts w:ascii="Arial" w:hAnsi="Arial" w:cs="Arial"/>
          <w:i/>
          <w:iCs/>
          <w:sz w:val="22"/>
          <w:szCs w:val="22"/>
          <w:lang w:val="en-US"/>
        </w:rPr>
        <w:t xml:space="preserve"> </w:t>
      </w:r>
      <w:r w:rsidRPr="001454B0">
        <w:rPr>
          <w:rFonts w:ascii="Arial" w:hAnsi="Arial" w:cs="Arial"/>
          <w:i/>
          <w:iCs/>
          <w:sz w:val="22"/>
          <w:szCs w:val="22"/>
        </w:rPr>
        <w:t>of</w:t>
      </w:r>
      <w:r w:rsidRPr="001454B0">
        <w:rPr>
          <w:rFonts w:ascii="Arial" w:hAnsi="Arial" w:cs="Arial"/>
          <w:i/>
          <w:iCs/>
          <w:color w:val="auto"/>
          <w:sz w:val="22"/>
          <w:szCs w:val="22"/>
          <w:lang w:val="en-US"/>
        </w:rPr>
        <w:t xml:space="preserve"> the Republic of </w:t>
      </w:r>
      <w:r w:rsidRPr="001454B0">
        <w:rPr>
          <w:rFonts w:ascii="Arial" w:hAnsi="Arial" w:cs="Arial"/>
          <w:i/>
          <w:iCs/>
          <w:sz w:val="22"/>
          <w:szCs w:val="22"/>
          <w:lang w:val="en-US"/>
        </w:rPr>
        <w:t xml:space="preserve">North </w:t>
      </w:r>
      <w:r w:rsidRPr="001454B0">
        <w:rPr>
          <w:rFonts w:ascii="Arial" w:hAnsi="Arial" w:cs="Arial"/>
          <w:i/>
          <w:iCs/>
          <w:color w:val="auto"/>
          <w:sz w:val="22"/>
          <w:szCs w:val="22"/>
          <w:lang w:val="en-US"/>
        </w:rPr>
        <w:t>Macedonia</w:t>
      </w:r>
      <w:r w:rsidRPr="001454B0">
        <w:rPr>
          <w:rFonts w:ascii="Arial" w:hAnsi="Arial" w:cs="Arial"/>
          <w:i/>
          <w:iCs/>
          <w:sz w:val="22"/>
          <w:szCs w:val="22"/>
          <w:lang w:val="en-US"/>
        </w:rPr>
        <w:t xml:space="preserve"> no</w:t>
      </w:r>
      <w:r w:rsidRPr="001454B0">
        <w:rPr>
          <w:rFonts w:ascii="Arial" w:hAnsi="Arial" w:cs="Arial"/>
          <w:i/>
          <w:iCs/>
          <w:sz w:val="22"/>
          <w:szCs w:val="22"/>
        </w:rPr>
        <w:t>. 33/23</w:t>
      </w:r>
    </w:p>
    <w:p w14:paraId="1C3FD91D" w14:textId="77777777" w:rsidR="001454B0" w:rsidRPr="001454B0" w:rsidRDefault="001454B0" w:rsidP="001454B0">
      <w:pPr>
        <w:pStyle w:val="Default"/>
        <w:ind w:left="426" w:right="369"/>
        <w:rPr>
          <w:rFonts w:ascii="Arial" w:hAnsi="Arial" w:cs="Arial"/>
          <w:i/>
          <w:sz w:val="22"/>
          <w:szCs w:val="22"/>
        </w:rPr>
      </w:pPr>
    </w:p>
    <w:p w14:paraId="5878E0A3" w14:textId="77777777" w:rsidR="001454B0" w:rsidRPr="001454B0" w:rsidRDefault="001454B0" w:rsidP="001454B0">
      <w:pPr>
        <w:pStyle w:val="Default"/>
        <w:jc w:val="both"/>
        <w:rPr>
          <w:rFonts w:ascii="Arial" w:hAnsi="Arial" w:cs="Arial"/>
          <w:sz w:val="22"/>
          <w:szCs w:val="22"/>
          <w:lang w:val="en-US"/>
        </w:rPr>
      </w:pPr>
    </w:p>
    <w:p w14:paraId="304EA269" w14:textId="77777777" w:rsidR="001454B0" w:rsidRPr="001454B0" w:rsidRDefault="001454B0" w:rsidP="001454B0">
      <w:pPr>
        <w:pStyle w:val="Default"/>
        <w:jc w:val="both"/>
        <w:rPr>
          <w:rFonts w:ascii="Arial" w:hAnsi="Arial" w:cs="Arial"/>
          <w:sz w:val="22"/>
          <w:szCs w:val="22"/>
          <w:lang w:val="en-US"/>
        </w:rPr>
      </w:pPr>
    </w:p>
    <w:p w14:paraId="53B95DC6" w14:textId="77777777" w:rsidR="001454B0" w:rsidRPr="001454B0" w:rsidRDefault="001454B0" w:rsidP="001454B0">
      <w:pPr>
        <w:pStyle w:val="Default"/>
        <w:ind w:firstLine="426"/>
        <w:jc w:val="both"/>
        <w:rPr>
          <w:rFonts w:ascii="Arial" w:hAnsi="Arial" w:cs="Arial"/>
          <w:sz w:val="22"/>
          <w:szCs w:val="22"/>
          <w:lang w:val="en-US"/>
        </w:rPr>
      </w:pPr>
      <w:r w:rsidRPr="001454B0">
        <w:rPr>
          <w:rFonts w:ascii="Arial" w:hAnsi="Arial" w:cs="Arial"/>
          <w:sz w:val="22"/>
          <w:szCs w:val="22"/>
          <w:lang w:val="en-US"/>
        </w:rPr>
        <w:t>Table no. 6 shows the level of reserves by separate oil reserves and in total on 31.12.2022, the anticipated purchases in 2023, 2024 and 2025 and the level of reserves on 31.12.2025. From the table, it can be seen that in the period 2023-2025, the purchase of diesel is only expected in quantities of 28 ktons for the three years in total.</w:t>
      </w:r>
    </w:p>
    <w:p w14:paraId="094F67A6" w14:textId="77777777" w:rsidR="001454B0" w:rsidRPr="001454B0" w:rsidRDefault="001454B0" w:rsidP="001454B0">
      <w:pPr>
        <w:pStyle w:val="Default"/>
        <w:jc w:val="both"/>
        <w:rPr>
          <w:rFonts w:ascii="Arial" w:hAnsi="Arial" w:cs="Arial"/>
          <w:sz w:val="22"/>
          <w:szCs w:val="22"/>
          <w:lang w:val="en-US"/>
        </w:rPr>
      </w:pPr>
    </w:p>
    <w:p w14:paraId="4648024D" w14:textId="77777777" w:rsidR="001454B0" w:rsidRPr="001454B0" w:rsidRDefault="001454B0" w:rsidP="001454B0">
      <w:pPr>
        <w:pStyle w:val="Default"/>
        <w:jc w:val="both"/>
        <w:rPr>
          <w:rFonts w:ascii="Arial" w:hAnsi="Arial" w:cs="Arial"/>
          <w:sz w:val="22"/>
          <w:szCs w:val="22"/>
          <w:lang w:val="en-US"/>
        </w:rPr>
      </w:pPr>
    </w:p>
    <w:p w14:paraId="538D2A40" w14:textId="77777777" w:rsidR="001454B0" w:rsidRPr="001454B0" w:rsidRDefault="001454B0" w:rsidP="001454B0">
      <w:pPr>
        <w:jc w:val="both"/>
        <w:rPr>
          <w:rFonts w:ascii="Arial" w:hAnsi="Arial" w:cs="Arial"/>
          <w:b/>
        </w:rPr>
      </w:pPr>
      <w:r w:rsidRPr="001454B0">
        <w:rPr>
          <w:rFonts w:ascii="Arial" w:hAnsi="Arial" w:cs="Arial"/>
          <w:b/>
        </w:rPr>
        <w:t xml:space="preserve">Table 7: </w:t>
      </w:r>
      <w:r w:rsidRPr="001454B0">
        <w:rPr>
          <w:rFonts w:ascii="Arial" w:hAnsi="Arial" w:cs="Arial"/>
        </w:rPr>
        <w:t>Days of coverage until 31.12.2022, number of days for which oil reserves are provided</w:t>
      </w:r>
    </w:p>
    <w:p w14:paraId="699AB0C4" w14:textId="77777777" w:rsidR="001454B0" w:rsidRPr="001454B0" w:rsidRDefault="001454B0" w:rsidP="001454B0">
      <w:pPr>
        <w:jc w:val="both"/>
        <w:rPr>
          <w:rFonts w:ascii="Arial" w:hAnsi="Arial" w:cs="Arial"/>
        </w:rPr>
      </w:pPr>
    </w:p>
    <w:tbl>
      <w:tblPr>
        <w:tblStyle w:val="TableGrid"/>
        <w:tblW w:w="0" w:type="auto"/>
        <w:tblInd w:w="0" w:type="dxa"/>
        <w:tblLook w:val="04A0" w:firstRow="1" w:lastRow="0" w:firstColumn="1" w:lastColumn="0" w:noHBand="0" w:noVBand="1"/>
      </w:tblPr>
      <w:tblGrid>
        <w:gridCol w:w="1709"/>
        <w:gridCol w:w="1479"/>
        <w:gridCol w:w="1551"/>
        <w:gridCol w:w="1408"/>
        <w:gridCol w:w="1192"/>
      </w:tblGrid>
      <w:tr w:rsidR="001454B0" w:rsidRPr="001454B0" w14:paraId="71C0B569" w14:textId="77777777" w:rsidTr="00D30366">
        <w:trPr>
          <w:trHeight w:val="629"/>
        </w:trPr>
        <w:tc>
          <w:tcPr>
            <w:tcW w:w="1709" w:type="dxa"/>
            <w:shd w:val="clear" w:color="auto" w:fill="F2F2F2" w:themeFill="background1" w:themeFillShade="F2"/>
            <w:noWrap/>
            <w:hideMark/>
          </w:tcPr>
          <w:p w14:paraId="6E7C2F09" w14:textId="77777777" w:rsidR="001454B0" w:rsidRPr="001454B0" w:rsidRDefault="001454B0" w:rsidP="001454B0">
            <w:pPr>
              <w:rPr>
                <w:rFonts w:eastAsia="Times New Roman" w:cs="Arial"/>
                <w:b/>
                <w:bCs/>
                <w:color w:val="000000"/>
                <w:lang w:eastAsia="mk-MK"/>
              </w:rPr>
            </w:pPr>
            <w:r w:rsidRPr="001454B0">
              <w:rPr>
                <w:rFonts w:eastAsia="Times New Roman" w:cs="Arial"/>
                <w:b/>
                <w:bCs/>
                <w:color w:val="000000"/>
                <w:lang w:eastAsia="mk-MK"/>
              </w:rPr>
              <w:t>Type of oil derivative</w:t>
            </w:r>
          </w:p>
        </w:tc>
        <w:tc>
          <w:tcPr>
            <w:tcW w:w="1479" w:type="dxa"/>
            <w:shd w:val="clear" w:color="auto" w:fill="F2F2F2" w:themeFill="background1" w:themeFillShade="F2"/>
            <w:noWrap/>
            <w:hideMark/>
          </w:tcPr>
          <w:p w14:paraId="2D255253" w14:textId="77777777" w:rsidR="001454B0" w:rsidRPr="001454B0" w:rsidRDefault="001454B0" w:rsidP="001454B0">
            <w:pPr>
              <w:rPr>
                <w:rFonts w:eastAsia="Times New Roman" w:cs="Arial"/>
                <w:b/>
                <w:bCs/>
                <w:color w:val="000000"/>
                <w:lang w:eastAsia="mk-MK"/>
              </w:rPr>
            </w:pPr>
            <w:r w:rsidRPr="001454B0">
              <w:rPr>
                <w:rFonts w:eastAsia="Times New Roman" w:cs="Arial"/>
                <w:b/>
                <w:bCs/>
                <w:color w:val="000000"/>
                <w:lang w:eastAsia="mk-MK"/>
              </w:rPr>
              <w:t>Reserve level (kton)</w:t>
            </w:r>
          </w:p>
        </w:tc>
        <w:tc>
          <w:tcPr>
            <w:tcW w:w="1551" w:type="dxa"/>
            <w:shd w:val="clear" w:color="auto" w:fill="F2F2F2" w:themeFill="background1" w:themeFillShade="F2"/>
            <w:noWrap/>
            <w:hideMark/>
          </w:tcPr>
          <w:p w14:paraId="0BD3FCEB" w14:textId="77777777" w:rsidR="001454B0" w:rsidRPr="001454B0" w:rsidRDefault="001454B0" w:rsidP="001454B0">
            <w:pPr>
              <w:rPr>
                <w:rFonts w:eastAsia="Times New Roman" w:cs="Arial"/>
                <w:b/>
                <w:bCs/>
                <w:color w:val="000000"/>
                <w:lang w:eastAsia="mk-MK"/>
              </w:rPr>
            </w:pPr>
            <w:r w:rsidRPr="001454B0">
              <w:rPr>
                <w:rFonts w:eastAsia="Times New Roman" w:cs="Arial"/>
                <w:b/>
                <w:bCs/>
                <w:color w:val="000000"/>
                <w:lang w:eastAsia="mk-MK"/>
              </w:rPr>
              <w:t>Reserve level (ктоe)</w:t>
            </w:r>
          </w:p>
        </w:tc>
        <w:tc>
          <w:tcPr>
            <w:tcW w:w="1408" w:type="dxa"/>
            <w:shd w:val="clear" w:color="auto" w:fill="F2F2F2" w:themeFill="background1" w:themeFillShade="F2"/>
            <w:hideMark/>
          </w:tcPr>
          <w:p w14:paraId="5E9A70C7" w14:textId="77777777" w:rsidR="001454B0" w:rsidRPr="001454B0" w:rsidRDefault="001454B0" w:rsidP="001454B0">
            <w:pPr>
              <w:rPr>
                <w:rFonts w:eastAsia="Times New Roman" w:cs="Arial"/>
                <w:b/>
                <w:bCs/>
                <w:color w:val="000000"/>
                <w:lang w:eastAsia="mk-MK"/>
              </w:rPr>
            </w:pPr>
            <w:r w:rsidRPr="001454B0">
              <w:rPr>
                <w:rFonts w:eastAsia="Times New Roman" w:cs="Arial"/>
                <w:b/>
                <w:bCs/>
                <w:color w:val="000000"/>
                <w:lang w:eastAsia="mk-MK"/>
              </w:rPr>
              <w:t>Daily net import</w:t>
            </w:r>
          </w:p>
          <w:p w14:paraId="65E55EFA" w14:textId="77777777" w:rsidR="001454B0" w:rsidRPr="001454B0" w:rsidRDefault="001454B0" w:rsidP="001454B0">
            <w:pPr>
              <w:rPr>
                <w:rFonts w:eastAsia="Times New Roman" w:cs="Arial"/>
                <w:b/>
                <w:bCs/>
                <w:color w:val="000000"/>
                <w:lang w:eastAsia="mk-MK"/>
              </w:rPr>
            </w:pPr>
            <w:r w:rsidRPr="001454B0">
              <w:rPr>
                <w:rFonts w:eastAsia="Times New Roman" w:cs="Arial"/>
                <w:b/>
                <w:bCs/>
                <w:color w:val="000000"/>
                <w:lang w:eastAsia="mk-MK"/>
              </w:rPr>
              <w:t xml:space="preserve"> (ктое)</w:t>
            </w:r>
          </w:p>
        </w:tc>
        <w:tc>
          <w:tcPr>
            <w:tcW w:w="1192" w:type="dxa"/>
            <w:shd w:val="clear" w:color="auto" w:fill="F2F2F2" w:themeFill="background1" w:themeFillShade="F2"/>
            <w:hideMark/>
          </w:tcPr>
          <w:p w14:paraId="2B79911C" w14:textId="77777777" w:rsidR="001454B0" w:rsidRPr="001454B0" w:rsidRDefault="001454B0" w:rsidP="001454B0">
            <w:pPr>
              <w:rPr>
                <w:rFonts w:eastAsia="Times New Roman" w:cs="Arial"/>
                <w:b/>
                <w:bCs/>
                <w:color w:val="000000"/>
                <w:lang w:eastAsia="mk-MK"/>
              </w:rPr>
            </w:pPr>
            <w:r w:rsidRPr="001454B0">
              <w:rPr>
                <w:rFonts w:eastAsia="Times New Roman" w:cs="Arial"/>
                <w:b/>
                <w:bCs/>
                <w:color w:val="000000"/>
                <w:lang w:eastAsia="mk-MK"/>
              </w:rPr>
              <w:t>Days of coverage</w:t>
            </w:r>
          </w:p>
        </w:tc>
      </w:tr>
      <w:tr w:rsidR="001454B0" w:rsidRPr="001454B0" w14:paraId="59E430DC" w14:textId="77777777" w:rsidTr="00D30366">
        <w:trPr>
          <w:trHeight w:val="288"/>
        </w:trPr>
        <w:tc>
          <w:tcPr>
            <w:tcW w:w="1709" w:type="dxa"/>
            <w:noWrap/>
            <w:hideMark/>
          </w:tcPr>
          <w:p w14:paraId="08FC7FF9" w14:textId="77777777" w:rsidR="001454B0" w:rsidRPr="001454B0" w:rsidRDefault="001454B0" w:rsidP="001454B0">
            <w:pPr>
              <w:rPr>
                <w:rFonts w:eastAsia="Times New Roman" w:cs="Arial"/>
                <w:color w:val="222222"/>
                <w:lang w:eastAsia="mk-MK"/>
              </w:rPr>
            </w:pPr>
            <w:r w:rsidRPr="001454B0">
              <w:rPr>
                <w:rFonts w:eastAsia="Times New Roman" w:cs="Arial"/>
                <w:color w:val="222222"/>
                <w:lang w:eastAsia="mk-MK"/>
              </w:rPr>
              <w:t>TNG</w:t>
            </w:r>
          </w:p>
        </w:tc>
        <w:tc>
          <w:tcPr>
            <w:tcW w:w="1479" w:type="dxa"/>
            <w:noWrap/>
            <w:hideMark/>
          </w:tcPr>
          <w:p w14:paraId="59C62CA0"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c>
          <w:tcPr>
            <w:tcW w:w="1551" w:type="dxa"/>
            <w:noWrap/>
            <w:hideMark/>
          </w:tcPr>
          <w:p w14:paraId="22AAE6AB"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c>
          <w:tcPr>
            <w:tcW w:w="1408" w:type="dxa"/>
            <w:hideMark/>
          </w:tcPr>
          <w:p w14:paraId="11600138"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0,1</w:t>
            </w:r>
          </w:p>
        </w:tc>
        <w:tc>
          <w:tcPr>
            <w:tcW w:w="1192" w:type="dxa"/>
            <w:hideMark/>
          </w:tcPr>
          <w:p w14:paraId="2B1B85AE"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r>
      <w:tr w:rsidR="001454B0" w:rsidRPr="001454B0" w14:paraId="60048C54" w14:textId="77777777" w:rsidTr="00D30366">
        <w:trPr>
          <w:trHeight w:val="314"/>
        </w:trPr>
        <w:tc>
          <w:tcPr>
            <w:tcW w:w="1709" w:type="dxa"/>
            <w:hideMark/>
          </w:tcPr>
          <w:p w14:paraId="22336128" w14:textId="77777777" w:rsidR="001454B0" w:rsidRPr="001454B0" w:rsidRDefault="001454B0" w:rsidP="001454B0">
            <w:pPr>
              <w:rPr>
                <w:rFonts w:eastAsia="Times New Roman" w:cs="Arial"/>
                <w:color w:val="222222"/>
                <w:lang w:eastAsia="mk-MK"/>
              </w:rPr>
            </w:pPr>
            <w:r w:rsidRPr="001454B0">
              <w:rPr>
                <w:rFonts w:eastAsia="Times New Roman" w:cs="Arial"/>
                <w:color w:val="222222"/>
                <w:lang w:eastAsia="mk-MK"/>
              </w:rPr>
              <w:t>Motor gasoline</w:t>
            </w:r>
          </w:p>
        </w:tc>
        <w:tc>
          <w:tcPr>
            <w:tcW w:w="1479" w:type="dxa"/>
            <w:noWrap/>
            <w:hideMark/>
          </w:tcPr>
          <w:p w14:paraId="28231153"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24,2</w:t>
            </w:r>
          </w:p>
        </w:tc>
        <w:tc>
          <w:tcPr>
            <w:tcW w:w="1551" w:type="dxa"/>
            <w:noWrap/>
            <w:hideMark/>
          </w:tcPr>
          <w:p w14:paraId="645C762A"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25,7</w:t>
            </w:r>
          </w:p>
        </w:tc>
        <w:tc>
          <w:tcPr>
            <w:tcW w:w="1408" w:type="dxa"/>
            <w:hideMark/>
          </w:tcPr>
          <w:p w14:paraId="4A2E215E"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0,2</w:t>
            </w:r>
          </w:p>
        </w:tc>
        <w:tc>
          <w:tcPr>
            <w:tcW w:w="1192" w:type="dxa"/>
            <w:noWrap/>
            <w:hideMark/>
          </w:tcPr>
          <w:p w14:paraId="66C2F381"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100</w:t>
            </w:r>
          </w:p>
        </w:tc>
      </w:tr>
      <w:tr w:rsidR="001454B0" w:rsidRPr="001454B0" w14:paraId="51704940" w14:textId="77777777" w:rsidTr="00D30366">
        <w:trPr>
          <w:trHeight w:val="288"/>
        </w:trPr>
        <w:tc>
          <w:tcPr>
            <w:tcW w:w="1709" w:type="dxa"/>
            <w:hideMark/>
          </w:tcPr>
          <w:p w14:paraId="29886502" w14:textId="77777777" w:rsidR="001454B0" w:rsidRPr="001454B0" w:rsidRDefault="001454B0" w:rsidP="001454B0">
            <w:pPr>
              <w:rPr>
                <w:rFonts w:eastAsia="Times New Roman" w:cs="Arial"/>
                <w:color w:val="222222"/>
                <w:lang w:eastAsia="mk-MK"/>
              </w:rPr>
            </w:pPr>
            <w:r w:rsidRPr="001454B0">
              <w:rPr>
                <w:rFonts w:eastAsia="Times New Roman" w:cs="Arial"/>
                <w:color w:val="222222"/>
                <w:lang w:eastAsia="mk-MK"/>
              </w:rPr>
              <w:t>Jet fuels</w:t>
            </w:r>
          </w:p>
        </w:tc>
        <w:tc>
          <w:tcPr>
            <w:tcW w:w="1479" w:type="dxa"/>
            <w:noWrap/>
            <w:hideMark/>
          </w:tcPr>
          <w:p w14:paraId="7097C62E"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c>
          <w:tcPr>
            <w:tcW w:w="1551" w:type="dxa"/>
            <w:noWrap/>
            <w:hideMark/>
          </w:tcPr>
          <w:p w14:paraId="099AC55B"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c>
          <w:tcPr>
            <w:tcW w:w="1408" w:type="dxa"/>
            <w:hideMark/>
          </w:tcPr>
          <w:p w14:paraId="1191E43E"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0,4</w:t>
            </w:r>
          </w:p>
        </w:tc>
        <w:tc>
          <w:tcPr>
            <w:tcW w:w="1192" w:type="dxa"/>
            <w:noWrap/>
            <w:hideMark/>
          </w:tcPr>
          <w:p w14:paraId="24EDCA22"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r>
      <w:tr w:rsidR="001454B0" w:rsidRPr="001454B0" w14:paraId="7BD55A59" w14:textId="77777777" w:rsidTr="00D30366">
        <w:trPr>
          <w:trHeight w:val="288"/>
        </w:trPr>
        <w:tc>
          <w:tcPr>
            <w:tcW w:w="1709" w:type="dxa"/>
            <w:hideMark/>
          </w:tcPr>
          <w:p w14:paraId="5BB7005A" w14:textId="77777777" w:rsidR="001454B0" w:rsidRPr="001454B0" w:rsidRDefault="001454B0" w:rsidP="001454B0">
            <w:pPr>
              <w:rPr>
                <w:rFonts w:eastAsia="Times New Roman" w:cs="Arial"/>
                <w:color w:val="222222"/>
                <w:lang w:eastAsia="mk-MK"/>
              </w:rPr>
            </w:pPr>
            <w:r w:rsidRPr="001454B0">
              <w:rPr>
                <w:rFonts w:eastAsia="Times New Roman" w:cs="Arial"/>
                <w:color w:val="222222"/>
                <w:lang w:eastAsia="mk-MK"/>
              </w:rPr>
              <w:t>Diesel</w:t>
            </w:r>
          </w:p>
        </w:tc>
        <w:tc>
          <w:tcPr>
            <w:tcW w:w="1479" w:type="dxa"/>
            <w:noWrap/>
            <w:hideMark/>
          </w:tcPr>
          <w:p w14:paraId="16957050"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97,9</w:t>
            </w:r>
          </w:p>
        </w:tc>
        <w:tc>
          <w:tcPr>
            <w:tcW w:w="1551" w:type="dxa"/>
            <w:noWrap/>
            <w:hideMark/>
          </w:tcPr>
          <w:p w14:paraId="7E026AF3"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104,2</w:t>
            </w:r>
          </w:p>
        </w:tc>
        <w:tc>
          <w:tcPr>
            <w:tcW w:w="1408" w:type="dxa"/>
            <w:hideMark/>
          </w:tcPr>
          <w:p w14:paraId="3DCDEDD4"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1,8</w:t>
            </w:r>
          </w:p>
        </w:tc>
        <w:tc>
          <w:tcPr>
            <w:tcW w:w="1192" w:type="dxa"/>
            <w:noWrap/>
            <w:hideMark/>
          </w:tcPr>
          <w:p w14:paraId="2029BA1B"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55</w:t>
            </w:r>
          </w:p>
        </w:tc>
      </w:tr>
      <w:tr w:rsidR="001454B0" w:rsidRPr="001454B0" w14:paraId="300FF26F" w14:textId="77777777" w:rsidTr="00D30366">
        <w:trPr>
          <w:trHeight w:val="296"/>
        </w:trPr>
        <w:tc>
          <w:tcPr>
            <w:tcW w:w="1709" w:type="dxa"/>
            <w:hideMark/>
          </w:tcPr>
          <w:p w14:paraId="42F7FF8B" w14:textId="77777777" w:rsidR="001454B0" w:rsidRPr="001454B0" w:rsidRDefault="001454B0" w:rsidP="001454B0">
            <w:pPr>
              <w:rPr>
                <w:rFonts w:eastAsia="Times New Roman" w:cs="Arial"/>
                <w:color w:val="222222"/>
                <w:lang w:eastAsia="mk-MK"/>
              </w:rPr>
            </w:pPr>
            <w:r w:rsidRPr="001454B0">
              <w:rPr>
                <w:rFonts w:eastAsia="Times New Roman" w:cs="Arial"/>
                <w:color w:val="222222"/>
                <w:lang w:eastAsia="mk-MK"/>
              </w:rPr>
              <w:t>ЕL-1</w:t>
            </w:r>
          </w:p>
        </w:tc>
        <w:tc>
          <w:tcPr>
            <w:tcW w:w="1479" w:type="dxa"/>
            <w:noWrap/>
            <w:hideMark/>
          </w:tcPr>
          <w:p w14:paraId="3F135109"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9,1</w:t>
            </w:r>
          </w:p>
        </w:tc>
        <w:tc>
          <w:tcPr>
            <w:tcW w:w="1551" w:type="dxa"/>
            <w:noWrap/>
            <w:hideMark/>
          </w:tcPr>
          <w:p w14:paraId="6318A26E"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9,6</w:t>
            </w:r>
          </w:p>
        </w:tc>
        <w:tc>
          <w:tcPr>
            <w:tcW w:w="1408" w:type="dxa"/>
            <w:hideMark/>
          </w:tcPr>
          <w:p w14:paraId="431C3FD6"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0,9</w:t>
            </w:r>
          </w:p>
        </w:tc>
        <w:tc>
          <w:tcPr>
            <w:tcW w:w="1192" w:type="dxa"/>
            <w:noWrap/>
            <w:hideMark/>
          </w:tcPr>
          <w:p w14:paraId="2DC9C178"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78</w:t>
            </w:r>
          </w:p>
        </w:tc>
      </w:tr>
      <w:tr w:rsidR="001454B0" w:rsidRPr="001454B0" w14:paraId="3D53354A" w14:textId="77777777" w:rsidTr="00D30366">
        <w:trPr>
          <w:trHeight w:val="260"/>
        </w:trPr>
        <w:tc>
          <w:tcPr>
            <w:tcW w:w="1709" w:type="dxa"/>
            <w:hideMark/>
          </w:tcPr>
          <w:p w14:paraId="6ED45DFE" w14:textId="77777777" w:rsidR="001454B0" w:rsidRPr="001454B0" w:rsidRDefault="001454B0" w:rsidP="001454B0">
            <w:pPr>
              <w:rPr>
                <w:rFonts w:eastAsia="Times New Roman" w:cs="Arial"/>
                <w:color w:val="222222"/>
                <w:lang w:eastAsia="mk-MK"/>
              </w:rPr>
            </w:pPr>
            <w:r w:rsidRPr="001454B0">
              <w:rPr>
                <w:rFonts w:eastAsia="Times New Roman" w:cs="Arial"/>
                <w:color w:val="222222"/>
                <w:lang w:eastAsia="mk-MK"/>
              </w:rPr>
              <w:t>Fuel oil</w:t>
            </w:r>
          </w:p>
        </w:tc>
        <w:tc>
          <w:tcPr>
            <w:tcW w:w="1479" w:type="dxa"/>
            <w:noWrap/>
            <w:hideMark/>
          </w:tcPr>
          <w:p w14:paraId="6426D906"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21,5</w:t>
            </w:r>
          </w:p>
        </w:tc>
        <w:tc>
          <w:tcPr>
            <w:tcW w:w="1551" w:type="dxa"/>
            <w:noWrap/>
            <w:hideMark/>
          </w:tcPr>
          <w:p w14:paraId="4160AFD8"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22,8</w:t>
            </w:r>
          </w:p>
        </w:tc>
        <w:tc>
          <w:tcPr>
            <w:tcW w:w="1408" w:type="dxa"/>
            <w:hideMark/>
          </w:tcPr>
          <w:p w14:paraId="3546C431"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0,2</w:t>
            </w:r>
          </w:p>
        </w:tc>
        <w:tc>
          <w:tcPr>
            <w:tcW w:w="1192" w:type="dxa"/>
            <w:noWrap/>
            <w:hideMark/>
          </w:tcPr>
          <w:p w14:paraId="76E153A7"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89</w:t>
            </w:r>
          </w:p>
        </w:tc>
      </w:tr>
      <w:tr w:rsidR="001454B0" w:rsidRPr="001454B0" w14:paraId="70E58820" w14:textId="77777777" w:rsidTr="00D30366">
        <w:trPr>
          <w:trHeight w:val="288"/>
        </w:trPr>
        <w:tc>
          <w:tcPr>
            <w:tcW w:w="1709" w:type="dxa"/>
            <w:hideMark/>
          </w:tcPr>
          <w:p w14:paraId="3C302908" w14:textId="77777777" w:rsidR="001454B0" w:rsidRPr="001454B0" w:rsidRDefault="001454B0" w:rsidP="001454B0">
            <w:pPr>
              <w:rPr>
                <w:rFonts w:eastAsia="Times New Roman" w:cs="Arial"/>
                <w:color w:val="222222"/>
                <w:lang w:eastAsia="mk-MK"/>
              </w:rPr>
            </w:pPr>
            <w:r w:rsidRPr="001454B0">
              <w:rPr>
                <w:rFonts w:eastAsia="Times New Roman" w:cs="Arial"/>
                <w:color w:val="222222"/>
                <w:lang w:eastAsia="mk-MK"/>
              </w:rPr>
              <w:t>Petroleum coke</w:t>
            </w:r>
          </w:p>
        </w:tc>
        <w:tc>
          <w:tcPr>
            <w:tcW w:w="1479" w:type="dxa"/>
            <w:noWrap/>
            <w:hideMark/>
          </w:tcPr>
          <w:p w14:paraId="1EA2E6E2"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c>
          <w:tcPr>
            <w:tcW w:w="1551" w:type="dxa"/>
            <w:noWrap/>
            <w:hideMark/>
          </w:tcPr>
          <w:p w14:paraId="6A8030CF"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c>
          <w:tcPr>
            <w:tcW w:w="1408" w:type="dxa"/>
            <w:hideMark/>
          </w:tcPr>
          <w:p w14:paraId="52DD64B1"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0,4</w:t>
            </w:r>
          </w:p>
        </w:tc>
        <w:tc>
          <w:tcPr>
            <w:tcW w:w="1192" w:type="dxa"/>
            <w:noWrap/>
            <w:hideMark/>
          </w:tcPr>
          <w:p w14:paraId="126CBEEF"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r>
      <w:tr w:rsidR="001454B0" w:rsidRPr="001454B0" w14:paraId="7DE42CCD" w14:textId="77777777" w:rsidTr="00D30366">
        <w:trPr>
          <w:trHeight w:val="288"/>
        </w:trPr>
        <w:tc>
          <w:tcPr>
            <w:tcW w:w="1709" w:type="dxa"/>
            <w:hideMark/>
          </w:tcPr>
          <w:p w14:paraId="30A42165" w14:textId="77777777" w:rsidR="001454B0" w:rsidRPr="001454B0" w:rsidRDefault="001454B0" w:rsidP="001454B0">
            <w:pPr>
              <w:rPr>
                <w:rFonts w:eastAsia="Times New Roman" w:cs="Arial"/>
                <w:color w:val="222222"/>
                <w:lang w:eastAsia="mk-MK"/>
              </w:rPr>
            </w:pPr>
            <w:r w:rsidRPr="001454B0">
              <w:rPr>
                <w:rFonts w:eastAsia="Times New Roman" w:cs="Arial"/>
                <w:color w:val="222222"/>
                <w:lang w:eastAsia="mk-MK"/>
              </w:rPr>
              <w:t>Others</w:t>
            </w:r>
          </w:p>
        </w:tc>
        <w:tc>
          <w:tcPr>
            <w:tcW w:w="1479" w:type="dxa"/>
            <w:noWrap/>
            <w:hideMark/>
          </w:tcPr>
          <w:p w14:paraId="23A1FD94"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c>
          <w:tcPr>
            <w:tcW w:w="1551" w:type="dxa"/>
            <w:noWrap/>
            <w:hideMark/>
          </w:tcPr>
          <w:p w14:paraId="1889E119"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c>
          <w:tcPr>
            <w:tcW w:w="1408" w:type="dxa"/>
            <w:hideMark/>
          </w:tcPr>
          <w:p w14:paraId="7C8D36BF"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0,1</w:t>
            </w:r>
          </w:p>
        </w:tc>
        <w:tc>
          <w:tcPr>
            <w:tcW w:w="1192" w:type="dxa"/>
            <w:noWrap/>
            <w:hideMark/>
          </w:tcPr>
          <w:p w14:paraId="507A4635" w14:textId="77777777" w:rsidR="001454B0" w:rsidRPr="001454B0" w:rsidRDefault="001454B0" w:rsidP="001454B0">
            <w:pPr>
              <w:jc w:val="right"/>
              <w:rPr>
                <w:rFonts w:eastAsia="Times New Roman" w:cs="Arial"/>
                <w:color w:val="222222"/>
                <w:lang w:eastAsia="mk-MK"/>
              </w:rPr>
            </w:pPr>
            <w:r w:rsidRPr="001454B0">
              <w:rPr>
                <w:rFonts w:eastAsia="Times New Roman" w:cs="Arial"/>
                <w:color w:val="222222"/>
                <w:lang w:eastAsia="mk-MK"/>
              </w:rPr>
              <w:t>0</w:t>
            </w:r>
          </w:p>
        </w:tc>
      </w:tr>
      <w:tr w:rsidR="001454B0" w:rsidRPr="001454B0" w14:paraId="62EEB0FF" w14:textId="77777777" w:rsidTr="00D30366">
        <w:trPr>
          <w:trHeight w:val="288"/>
        </w:trPr>
        <w:tc>
          <w:tcPr>
            <w:tcW w:w="1709" w:type="dxa"/>
            <w:shd w:val="clear" w:color="auto" w:fill="F2F2F2" w:themeFill="background1" w:themeFillShade="F2"/>
            <w:hideMark/>
          </w:tcPr>
          <w:p w14:paraId="3597B49A" w14:textId="77777777" w:rsidR="001454B0" w:rsidRPr="001454B0" w:rsidRDefault="001454B0" w:rsidP="001454B0">
            <w:pPr>
              <w:rPr>
                <w:rFonts w:eastAsia="Times New Roman" w:cs="Arial"/>
                <w:b/>
                <w:bCs/>
                <w:color w:val="222222"/>
                <w:lang w:eastAsia="mk-MK"/>
              </w:rPr>
            </w:pPr>
            <w:r w:rsidRPr="001454B0">
              <w:rPr>
                <w:rFonts w:eastAsia="Times New Roman" w:cs="Arial"/>
                <w:b/>
                <w:bCs/>
                <w:color w:val="222222"/>
                <w:lang w:eastAsia="mk-MK"/>
              </w:rPr>
              <w:t>Total</w:t>
            </w:r>
          </w:p>
        </w:tc>
        <w:tc>
          <w:tcPr>
            <w:tcW w:w="1479" w:type="dxa"/>
            <w:shd w:val="clear" w:color="auto" w:fill="F2F2F2" w:themeFill="background1" w:themeFillShade="F2"/>
            <w:noWrap/>
            <w:hideMark/>
          </w:tcPr>
          <w:p w14:paraId="17F842CD" w14:textId="77777777" w:rsidR="001454B0" w:rsidRPr="001454B0" w:rsidRDefault="001454B0" w:rsidP="001454B0">
            <w:pPr>
              <w:jc w:val="right"/>
              <w:rPr>
                <w:rFonts w:eastAsia="Times New Roman" w:cs="Arial"/>
                <w:b/>
                <w:bCs/>
                <w:color w:val="222222"/>
                <w:lang w:eastAsia="mk-MK"/>
              </w:rPr>
            </w:pPr>
            <w:r w:rsidRPr="001454B0">
              <w:rPr>
                <w:rFonts w:eastAsia="Times New Roman" w:cs="Arial"/>
                <w:b/>
                <w:bCs/>
                <w:color w:val="222222"/>
                <w:lang w:eastAsia="mk-MK"/>
              </w:rPr>
              <w:t>152,7</w:t>
            </w:r>
          </w:p>
        </w:tc>
        <w:tc>
          <w:tcPr>
            <w:tcW w:w="1551" w:type="dxa"/>
            <w:shd w:val="clear" w:color="auto" w:fill="F2F2F2" w:themeFill="background1" w:themeFillShade="F2"/>
            <w:noWrap/>
            <w:hideMark/>
          </w:tcPr>
          <w:p w14:paraId="2A27778F" w14:textId="77777777" w:rsidR="001454B0" w:rsidRPr="001454B0" w:rsidRDefault="001454B0" w:rsidP="001454B0">
            <w:pPr>
              <w:jc w:val="right"/>
              <w:rPr>
                <w:rFonts w:eastAsia="Times New Roman" w:cs="Arial"/>
                <w:b/>
                <w:bCs/>
                <w:color w:val="222222"/>
                <w:lang w:eastAsia="mk-MK"/>
              </w:rPr>
            </w:pPr>
            <w:r w:rsidRPr="001454B0">
              <w:rPr>
                <w:rFonts w:eastAsia="Times New Roman" w:cs="Arial"/>
                <w:b/>
                <w:bCs/>
                <w:color w:val="222222"/>
                <w:lang w:eastAsia="mk-MK"/>
              </w:rPr>
              <w:t>162,6</w:t>
            </w:r>
          </w:p>
        </w:tc>
        <w:tc>
          <w:tcPr>
            <w:tcW w:w="1408" w:type="dxa"/>
            <w:shd w:val="clear" w:color="auto" w:fill="F2F2F2" w:themeFill="background1" w:themeFillShade="F2"/>
            <w:noWrap/>
            <w:hideMark/>
          </w:tcPr>
          <w:p w14:paraId="47226E8F" w14:textId="77777777" w:rsidR="001454B0" w:rsidRPr="001454B0" w:rsidRDefault="001454B0" w:rsidP="001454B0">
            <w:pPr>
              <w:jc w:val="right"/>
              <w:rPr>
                <w:rFonts w:eastAsia="Times New Roman" w:cs="Arial"/>
                <w:b/>
                <w:bCs/>
                <w:color w:val="222222"/>
                <w:lang w:eastAsia="mk-MK"/>
              </w:rPr>
            </w:pPr>
            <w:r w:rsidRPr="001454B0">
              <w:rPr>
                <w:rFonts w:eastAsia="Times New Roman" w:cs="Arial"/>
                <w:b/>
                <w:bCs/>
                <w:color w:val="222222"/>
                <w:lang w:eastAsia="mk-MK"/>
              </w:rPr>
              <w:t xml:space="preserve">   4,1 </w:t>
            </w:r>
          </w:p>
        </w:tc>
        <w:tc>
          <w:tcPr>
            <w:tcW w:w="1192" w:type="dxa"/>
            <w:shd w:val="clear" w:color="auto" w:fill="F2F2F2" w:themeFill="background1" w:themeFillShade="F2"/>
            <w:noWrap/>
            <w:hideMark/>
          </w:tcPr>
          <w:p w14:paraId="0EF833FA" w14:textId="77777777" w:rsidR="001454B0" w:rsidRPr="001454B0" w:rsidRDefault="001454B0" w:rsidP="001454B0">
            <w:pPr>
              <w:jc w:val="right"/>
              <w:rPr>
                <w:rFonts w:eastAsia="Times New Roman" w:cs="Arial"/>
                <w:b/>
                <w:bCs/>
                <w:color w:val="222222"/>
                <w:lang w:eastAsia="mk-MK"/>
              </w:rPr>
            </w:pPr>
            <w:r w:rsidRPr="001454B0">
              <w:rPr>
                <w:rFonts w:eastAsia="Times New Roman" w:cs="Arial"/>
                <w:b/>
                <w:bCs/>
                <w:color w:val="222222"/>
                <w:lang w:eastAsia="mk-MK"/>
              </w:rPr>
              <w:t>57</w:t>
            </w:r>
          </w:p>
        </w:tc>
      </w:tr>
    </w:tbl>
    <w:p w14:paraId="7A0902CC" w14:textId="77777777" w:rsidR="001454B0" w:rsidRPr="001454B0" w:rsidRDefault="001454B0" w:rsidP="001454B0">
      <w:pPr>
        <w:pStyle w:val="Default"/>
        <w:ind w:left="426" w:right="369"/>
        <w:rPr>
          <w:rFonts w:ascii="Arial" w:hAnsi="Arial" w:cs="Arial"/>
          <w:i/>
          <w:sz w:val="22"/>
          <w:szCs w:val="22"/>
        </w:rPr>
      </w:pPr>
      <w:r w:rsidRPr="001454B0">
        <w:rPr>
          <w:rFonts w:ascii="Arial" w:hAnsi="Arial" w:cs="Arial"/>
          <w:i/>
          <w:sz w:val="22"/>
          <w:szCs w:val="22"/>
          <w:lang w:val="en-US"/>
        </w:rPr>
        <w:t>Source</w:t>
      </w:r>
      <w:r w:rsidRPr="001454B0">
        <w:rPr>
          <w:rFonts w:ascii="Arial" w:hAnsi="Arial" w:cs="Arial"/>
          <w:i/>
          <w:sz w:val="22"/>
          <w:szCs w:val="22"/>
        </w:rPr>
        <w:t xml:space="preserve">: </w:t>
      </w:r>
      <w:r w:rsidRPr="001454B0">
        <w:rPr>
          <w:rFonts w:ascii="Arial" w:hAnsi="Arial" w:cs="Arial"/>
          <w:i/>
          <w:iCs/>
          <w:sz w:val="22"/>
          <w:szCs w:val="22"/>
        </w:rPr>
        <w:t>Action plan for the establishment of compulsory reserves</w:t>
      </w:r>
      <w:r w:rsidRPr="001454B0">
        <w:rPr>
          <w:rFonts w:ascii="Arial" w:hAnsi="Arial" w:cs="Arial"/>
          <w:sz w:val="22"/>
          <w:szCs w:val="22"/>
          <w:lang w:val="en-US"/>
        </w:rPr>
        <w:t xml:space="preserve"> </w:t>
      </w:r>
      <w:r w:rsidRPr="001454B0">
        <w:rPr>
          <w:rFonts w:ascii="Arial" w:hAnsi="Arial" w:cs="Arial"/>
          <w:i/>
          <w:iCs/>
          <w:sz w:val="22"/>
          <w:szCs w:val="22"/>
        </w:rPr>
        <w:t>2023-2025</w:t>
      </w:r>
      <w:r w:rsidRPr="001454B0">
        <w:rPr>
          <w:rFonts w:ascii="Arial" w:hAnsi="Arial" w:cs="Arial"/>
          <w:i/>
          <w:sz w:val="22"/>
          <w:szCs w:val="22"/>
        </w:rPr>
        <w:t xml:space="preserve">, </w:t>
      </w:r>
      <w:r w:rsidRPr="001454B0">
        <w:rPr>
          <w:rFonts w:ascii="Arial" w:hAnsi="Arial" w:cs="Arial"/>
          <w:i/>
          <w:iCs/>
          <w:color w:val="auto"/>
          <w:sz w:val="22"/>
          <w:szCs w:val="22"/>
          <w:lang w:val="en-US"/>
        </w:rPr>
        <w:t>Official Gazette</w:t>
      </w:r>
      <w:r w:rsidRPr="001454B0">
        <w:rPr>
          <w:rFonts w:ascii="Arial" w:hAnsi="Arial" w:cs="Arial"/>
          <w:i/>
          <w:iCs/>
          <w:sz w:val="22"/>
          <w:szCs w:val="22"/>
          <w:lang w:val="en-US"/>
        </w:rPr>
        <w:t xml:space="preserve"> </w:t>
      </w:r>
      <w:r w:rsidRPr="001454B0">
        <w:rPr>
          <w:rFonts w:ascii="Arial" w:hAnsi="Arial" w:cs="Arial"/>
          <w:i/>
          <w:iCs/>
          <w:sz w:val="22"/>
          <w:szCs w:val="22"/>
        </w:rPr>
        <w:t>of</w:t>
      </w:r>
      <w:r w:rsidRPr="001454B0">
        <w:rPr>
          <w:rFonts w:ascii="Arial" w:hAnsi="Arial" w:cs="Arial"/>
          <w:i/>
          <w:iCs/>
          <w:color w:val="auto"/>
          <w:sz w:val="22"/>
          <w:szCs w:val="22"/>
          <w:lang w:val="en-US"/>
        </w:rPr>
        <w:t xml:space="preserve"> the Republic of </w:t>
      </w:r>
      <w:r w:rsidRPr="001454B0">
        <w:rPr>
          <w:rFonts w:ascii="Arial" w:hAnsi="Arial" w:cs="Arial"/>
          <w:i/>
          <w:iCs/>
          <w:sz w:val="22"/>
          <w:szCs w:val="22"/>
          <w:lang w:val="en-US"/>
        </w:rPr>
        <w:t xml:space="preserve">North </w:t>
      </w:r>
      <w:r w:rsidRPr="001454B0">
        <w:rPr>
          <w:rFonts w:ascii="Arial" w:hAnsi="Arial" w:cs="Arial"/>
          <w:i/>
          <w:iCs/>
          <w:color w:val="auto"/>
          <w:sz w:val="22"/>
          <w:szCs w:val="22"/>
          <w:lang w:val="en-US"/>
        </w:rPr>
        <w:t>Macedonia</w:t>
      </w:r>
      <w:r w:rsidRPr="001454B0">
        <w:rPr>
          <w:rFonts w:ascii="Arial" w:hAnsi="Arial" w:cs="Arial"/>
          <w:i/>
          <w:iCs/>
          <w:sz w:val="22"/>
          <w:szCs w:val="22"/>
          <w:lang w:val="en-US"/>
        </w:rPr>
        <w:t xml:space="preserve"> no</w:t>
      </w:r>
      <w:r w:rsidRPr="001454B0">
        <w:rPr>
          <w:rFonts w:ascii="Arial" w:hAnsi="Arial" w:cs="Arial"/>
          <w:i/>
          <w:iCs/>
          <w:sz w:val="22"/>
          <w:szCs w:val="22"/>
        </w:rPr>
        <w:t>. 33/23</w:t>
      </w:r>
    </w:p>
    <w:p w14:paraId="46BD35FC" w14:textId="77777777" w:rsidR="001454B0" w:rsidRPr="001454B0" w:rsidRDefault="001454B0" w:rsidP="001454B0">
      <w:pPr>
        <w:pStyle w:val="Default"/>
        <w:ind w:left="426" w:right="369"/>
        <w:rPr>
          <w:rFonts w:ascii="Arial" w:hAnsi="Arial" w:cs="Arial"/>
          <w:i/>
          <w:sz w:val="22"/>
          <w:szCs w:val="22"/>
          <w:lang w:val="en-US"/>
        </w:rPr>
      </w:pPr>
    </w:p>
    <w:p w14:paraId="63CCD159" w14:textId="77777777" w:rsidR="001454B0" w:rsidRPr="001454B0" w:rsidRDefault="001454B0" w:rsidP="001454B0">
      <w:pPr>
        <w:ind w:firstLine="426"/>
        <w:jc w:val="both"/>
        <w:rPr>
          <w:rFonts w:ascii="Arial" w:hAnsi="Arial" w:cs="Arial"/>
        </w:rPr>
      </w:pPr>
      <w:r w:rsidRPr="001454B0">
        <w:rPr>
          <w:rFonts w:ascii="Arial" w:hAnsi="Arial" w:cs="Arial"/>
        </w:rPr>
        <w:t>Table no. 7 shows the quantities of oil reserves by individual derivatives, as well as the days of coverage on 31.12.2022. Motor gasoline has the highest coverage of 100 days, followed by fuel oil with 89 days, extra light 78 and diesel which has the least days of coverage, i.e. 55 days.</w:t>
      </w:r>
      <w:r w:rsidRPr="001454B0">
        <w:rPr>
          <w:rFonts w:ascii="Arial" w:hAnsi="Arial" w:cs="Arial"/>
        </w:rPr>
        <w:tab/>
      </w:r>
    </w:p>
    <w:p w14:paraId="43882424" w14:textId="77777777" w:rsidR="001454B0" w:rsidRPr="001454B0" w:rsidRDefault="001454B0" w:rsidP="001454B0">
      <w:pPr>
        <w:ind w:firstLine="426"/>
        <w:jc w:val="both"/>
        <w:rPr>
          <w:rFonts w:ascii="Arial" w:hAnsi="Arial" w:cs="Arial"/>
        </w:rPr>
      </w:pPr>
      <w:r w:rsidRPr="001454B0">
        <w:rPr>
          <w:rFonts w:ascii="Arial" w:hAnsi="Arial" w:cs="Arial"/>
        </w:rPr>
        <w:t>In the reports of the European Commission for 2019, 2020, 2021, 2022 and 2023 from the screening process - Cluster 4 Green Agenda and Sustainability - Chapter 15 Energy, it is stated that the coverage of oil derivatives from the compulsory reserves in days is as follows: in 2019 coverage of 63 days from the average daily consumption, 2020 coverage of 74 days, 2021 coverage of 51 days, 2022 coverage of 54 days and 2023 coverage of 53 days from the average daily consumption of oil derivatives. It should be noted that in 2021 the new Law on Compulsory Reserves entered into force, which in accordance with EU directives in this area changed the way of calculating of coverage days. Due to the changed method of calculation, 2021 has shown fewer days of coverage with oil derivatives compared to the previous year 2020. The days of coverage in 2023 amount to 53 days and are one day less than in 2022, which is the result of the input elements in the calculation, i.e. the increased import of certain oil derivatives during 2023.</w:t>
      </w:r>
    </w:p>
    <w:p w14:paraId="58DF46A1" w14:textId="77777777" w:rsidR="001454B0" w:rsidRPr="001454B0" w:rsidRDefault="001454B0" w:rsidP="001454B0">
      <w:pPr>
        <w:autoSpaceDE w:val="0"/>
        <w:autoSpaceDN w:val="0"/>
        <w:adjustRightInd w:val="0"/>
        <w:spacing w:before="120"/>
        <w:ind w:firstLine="720"/>
        <w:jc w:val="both"/>
        <w:rPr>
          <w:rFonts w:ascii="Arial" w:hAnsi="Arial" w:cs="Arial"/>
        </w:rPr>
      </w:pPr>
      <w:r w:rsidRPr="001454B0">
        <w:rPr>
          <w:rFonts w:ascii="Arial" w:hAnsi="Arial" w:cs="Arial"/>
        </w:rPr>
        <w:t xml:space="preserve">The Compulsory Reserves Agency can also keep reserves of oil derivatives in the form of specific reserves that are an integral part of the compulsory reserves and they are kept in order to enable appropriate intervention by releasing oil derivatives. This is necessary for the initial response in cases of special urgency or to overcome local crises that are not caused by </w:t>
      </w:r>
      <w:r w:rsidRPr="001454B0">
        <w:rPr>
          <w:rFonts w:ascii="Arial" w:hAnsi="Arial" w:cs="Arial"/>
        </w:rPr>
        <w:lastRenderedPageBreak/>
        <w:t>changes in the prices of crude oil or oil derivatives and may also refer to interruptions in the supply of natural gas.</w:t>
      </w:r>
    </w:p>
    <w:p w14:paraId="08A56842" w14:textId="77777777" w:rsidR="001454B0" w:rsidRPr="001454B0" w:rsidRDefault="001454B0" w:rsidP="001454B0">
      <w:pPr>
        <w:autoSpaceDE w:val="0"/>
        <w:autoSpaceDN w:val="0"/>
        <w:adjustRightInd w:val="0"/>
        <w:spacing w:before="120"/>
        <w:ind w:firstLine="720"/>
        <w:jc w:val="both"/>
        <w:rPr>
          <w:rFonts w:ascii="Arial" w:hAnsi="Arial" w:cs="Arial"/>
        </w:rPr>
      </w:pPr>
      <w:r w:rsidRPr="001454B0">
        <w:rPr>
          <w:rFonts w:ascii="Arial" w:hAnsi="Arial" w:cs="Arial"/>
        </w:rPr>
        <w:t>Specific reserves may be composed of one or more types of oil derivatives, namely: Ethane, LPG, Motor gasoline, Aviation gasoline, Gasoline jet fuel (naphtha- type jet fuel or JP4), Kerosene-type jet fuel type, other kerosene, Gas oils / diesel oil (Extra light oil 1 (EL-1) and diesel), Fuel oil (with high sulfur content and with low sulfur content), Mineral turpentine ("White spirit") and SBP, Lubricating Oils, Bitumen, Paraffin Waxes and Petroleum Coke. In the entire period from the adoption of the legal regulation for the establishment of compulsory reserves, no specific reserves have been established in the country due to the fact that the compulsory state reserves of oil derivatives have not yet been established in accordance with the Law on Compulsory Oil Reserves and EU directives.</w:t>
      </w:r>
    </w:p>
    <w:p w14:paraId="4C9D5051" w14:textId="77777777" w:rsidR="001454B0" w:rsidRPr="001454B0" w:rsidRDefault="001454B0" w:rsidP="001454B0">
      <w:pPr>
        <w:autoSpaceDE w:val="0"/>
        <w:autoSpaceDN w:val="0"/>
        <w:adjustRightInd w:val="0"/>
        <w:spacing w:before="120"/>
        <w:ind w:firstLine="720"/>
        <w:jc w:val="both"/>
        <w:rPr>
          <w:rFonts w:ascii="Arial" w:hAnsi="Arial" w:cs="Arial"/>
        </w:rPr>
      </w:pPr>
      <w:r w:rsidRPr="001454B0">
        <w:rPr>
          <w:rFonts w:ascii="Arial" w:hAnsi="Arial" w:cs="Arial"/>
        </w:rPr>
        <w:t>The funds intended to cover the costs of establishing, storing and maintaining mandatory reserves as well as for the daily operation of the Compulsory Reserves Agency are provided by: the fee for compulsory reserves of crude oil and/or oil derivatives; funds obtained on the basis of international cooperation of programs and projects; loans and other sources. The persons who are under the obligation for payment of the fee for compulsory reserves are: producers of oil derivatives and importers of oil derivatives.</w:t>
      </w:r>
    </w:p>
    <w:p w14:paraId="5E9DE0C2" w14:textId="77777777" w:rsidR="001454B0" w:rsidRDefault="001454B0" w:rsidP="001454B0">
      <w:pPr>
        <w:jc w:val="both"/>
        <w:rPr>
          <w:rFonts w:ascii="Arial" w:hAnsi="Arial" w:cs="Arial"/>
          <w:b/>
        </w:rPr>
      </w:pPr>
    </w:p>
    <w:p w14:paraId="4BCCF7DD" w14:textId="388B99F3" w:rsidR="001454B0" w:rsidRPr="001454B0" w:rsidRDefault="001454B0" w:rsidP="001454B0">
      <w:pPr>
        <w:jc w:val="both"/>
        <w:rPr>
          <w:rFonts w:ascii="Arial" w:hAnsi="Arial" w:cs="Arial"/>
        </w:rPr>
      </w:pPr>
      <w:r w:rsidRPr="001454B0">
        <w:rPr>
          <w:rFonts w:ascii="Arial" w:hAnsi="Arial" w:cs="Arial"/>
          <w:b/>
        </w:rPr>
        <w:t xml:space="preserve">Table 8: </w:t>
      </w:r>
      <w:r w:rsidRPr="001454B0">
        <w:rPr>
          <w:rFonts w:ascii="Arial" w:hAnsi="Arial" w:cs="Arial"/>
        </w:rPr>
        <w:t>Total planned funds for the implementation of the action plan in the period 2023-2025 (in millions of euros per year)</w:t>
      </w:r>
    </w:p>
    <w:p w14:paraId="114DB84C" w14:textId="77777777" w:rsidR="001454B0" w:rsidRPr="001454B0" w:rsidRDefault="001454B0" w:rsidP="001454B0">
      <w:pPr>
        <w:jc w:val="both"/>
        <w:rPr>
          <w:rFonts w:ascii="Arial" w:hAnsi="Arial" w:cs="Arial"/>
        </w:rPr>
      </w:pPr>
      <w:r w:rsidRPr="001454B0">
        <w:rPr>
          <w:rFonts w:ascii="Arial" w:hAnsi="Arial" w:cs="Arial"/>
        </w:rPr>
        <w:fldChar w:fldCharType="begin"/>
      </w:r>
      <w:r w:rsidRPr="001454B0">
        <w:rPr>
          <w:rFonts w:ascii="Arial" w:hAnsi="Arial" w:cs="Arial"/>
        </w:rPr>
        <w:instrText xml:space="preserve"> LINK Excel.Sheet.12 "F:\\AP VLASTO\\final\\ap_30.11.xlsx" "сценарио 1!R38C1:R42C5" \a \f 4 \h  \* MERGEFORMAT </w:instrText>
      </w:r>
      <w:r w:rsidRPr="001454B0">
        <w:rPr>
          <w:rFonts w:ascii="Arial" w:hAnsi="Arial" w:cs="Arial"/>
        </w:rPr>
        <w:fldChar w:fldCharType="separate"/>
      </w:r>
    </w:p>
    <w:tbl>
      <w:tblPr>
        <w:tblW w:w="7121" w:type="dxa"/>
        <w:tblInd w:w="93" w:type="dxa"/>
        <w:tblLook w:val="04A0" w:firstRow="1" w:lastRow="0" w:firstColumn="1" w:lastColumn="0" w:noHBand="0" w:noVBand="1"/>
      </w:tblPr>
      <w:tblGrid>
        <w:gridCol w:w="3168"/>
        <w:gridCol w:w="992"/>
        <w:gridCol w:w="889"/>
        <w:gridCol w:w="889"/>
        <w:gridCol w:w="1265"/>
      </w:tblGrid>
      <w:tr w:rsidR="001454B0" w:rsidRPr="001454B0" w14:paraId="40C3F16F" w14:textId="77777777" w:rsidTr="00D30366">
        <w:trPr>
          <w:trHeight w:val="300"/>
        </w:trPr>
        <w:tc>
          <w:tcPr>
            <w:tcW w:w="3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FB5F" w14:textId="77777777" w:rsidR="001454B0" w:rsidRPr="001454B0" w:rsidRDefault="001454B0" w:rsidP="001454B0">
            <w:pPr>
              <w:jc w:val="center"/>
              <w:rPr>
                <w:rFonts w:ascii="Arial" w:eastAsia="Times New Roman" w:hAnsi="Arial" w:cs="Arial"/>
                <w:color w:val="000000"/>
                <w:lang w:eastAsia="mk-MK"/>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EF5B74" w14:textId="77777777" w:rsidR="001454B0" w:rsidRPr="001454B0" w:rsidRDefault="001454B0" w:rsidP="001454B0">
            <w:pPr>
              <w:jc w:val="center"/>
              <w:rPr>
                <w:rFonts w:ascii="Arial" w:eastAsia="Times New Roman" w:hAnsi="Arial" w:cs="Arial"/>
                <w:b/>
                <w:bCs/>
                <w:color w:val="000000"/>
                <w:lang w:eastAsia="mk-MK"/>
              </w:rPr>
            </w:pPr>
            <w:r w:rsidRPr="001454B0">
              <w:rPr>
                <w:rFonts w:ascii="Arial" w:eastAsia="Times New Roman" w:hAnsi="Arial" w:cs="Arial"/>
                <w:b/>
                <w:bCs/>
                <w:color w:val="000000"/>
                <w:lang w:eastAsia="mk-MK"/>
              </w:rPr>
              <w:t xml:space="preserve">      2023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94595D" w14:textId="77777777" w:rsidR="001454B0" w:rsidRPr="001454B0" w:rsidRDefault="001454B0" w:rsidP="001454B0">
            <w:pPr>
              <w:jc w:val="center"/>
              <w:rPr>
                <w:rFonts w:ascii="Arial" w:eastAsia="Times New Roman" w:hAnsi="Arial" w:cs="Arial"/>
                <w:b/>
                <w:bCs/>
                <w:color w:val="000000"/>
                <w:lang w:eastAsia="mk-MK"/>
              </w:rPr>
            </w:pPr>
            <w:r w:rsidRPr="001454B0">
              <w:rPr>
                <w:rFonts w:ascii="Arial" w:eastAsia="Times New Roman" w:hAnsi="Arial" w:cs="Arial"/>
                <w:b/>
                <w:bCs/>
                <w:color w:val="000000"/>
                <w:lang w:eastAsia="mk-MK"/>
              </w:rPr>
              <w:t xml:space="preserve">   2024</w:t>
            </w:r>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53806" w14:textId="77777777" w:rsidR="001454B0" w:rsidRPr="001454B0" w:rsidRDefault="001454B0" w:rsidP="001454B0">
            <w:pPr>
              <w:jc w:val="center"/>
              <w:rPr>
                <w:rFonts w:ascii="Arial" w:eastAsia="Times New Roman" w:hAnsi="Arial" w:cs="Arial"/>
                <w:b/>
                <w:bCs/>
                <w:color w:val="000000"/>
                <w:lang w:eastAsia="mk-MK"/>
              </w:rPr>
            </w:pPr>
            <w:r w:rsidRPr="001454B0">
              <w:rPr>
                <w:rFonts w:ascii="Arial" w:eastAsia="Times New Roman" w:hAnsi="Arial" w:cs="Arial"/>
                <w:b/>
                <w:bCs/>
                <w:color w:val="000000"/>
                <w:lang w:eastAsia="mk-MK"/>
              </w:rPr>
              <w:t xml:space="preserve">   2025</w:t>
            </w:r>
          </w:p>
        </w:tc>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B325F5" w14:textId="77777777" w:rsidR="001454B0" w:rsidRPr="001454B0" w:rsidRDefault="001454B0" w:rsidP="001454B0">
            <w:pPr>
              <w:jc w:val="center"/>
              <w:rPr>
                <w:rFonts w:ascii="Arial" w:eastAsia="Times New Roman" w:hAnsi="Arial" w:cs="Arial"/>
                <w:color w:val="000000"/>
                <w:lang w:eastAsia="mk-MK"/>
              </w:rPr>
            </w:pPr>
            <w:r w:rsidRPr="001454B0">
              <w:rPr>
                <w:rFonts w:ascii="Arial" w:eastAsia="Times New Roman" w:hAnsi="Arial" w:cs="Arial"/>
                <w:color w:val="000000"/>
                <w:lang w:eastAsia="mk-MK"/>
              </w:rPr>
              <w:t xml:space="preserve">       Total</w:t>
            </w:r>
          </w:p>
        </w:tc>
      </w:tr>
      <w:tr w:rsidR="001454B0" w:rsidRPr="001454B0" w14:paraId="0AEE5484" w14:textId="77777777" w:rsidTr="00D30366">
        <w:trPr>
          <w:trHeight w:val="300"/>
        </w:trPr>
        <w:tc>
          <w:tcPr>
            <w:tcW w:w="3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120977" w14:textId="77777777" w:rsidR="001454B0" w:rsidRPr="001454B0" w:rsidRDefault="001454B0" w:rsidP="001454B0">
            <w:pPr>
              <w:rPr>
                <w:rFonts w:ascii="Arial" w:eastAsia="Times New Roman" w:hAnsi="Arial" w:cs="Arial"/>
                <w:color w:val="000000"/>
                <w:lang w:eastAsia="mk-MK"/>
              </w:rPr>
            </w:pPr>
            <w:r w:rsidRPr="001454B0">
              <w:rPr>
                <w:rFonts w:ascii="Arial" w:eastAsia="Times New Roman" w:hAnsi="Arial" w:cs="Arial"/>
                <w:color w:val="000000"/>
                <w:lang w:eastAsia="mk-MK"/>
              </w:rPr>
              <w:t>For the purchase of oil derivatives</w:t>
            </w:r>
          </w:p>
        </w:tc>
        <w:tc>
          <w:tcPr>
            <w:tcW w:w="992" w:type="dxa"/>
            <w:tcBorders>
              <w:top w:val="nil"/>
              <w:left w:val="nil"/>
              <w:bottom w:val="single" w:sz="4" w:space="0" w:color="auto"/>
              <w:right w:val="single" w:sz="4" w:space="0" w:color="auto"/>
            </w:tcBorders>
            <w:shd w:val="clear" w:color="000000" w:fill="FFFFFF"/>
            <w:noWrap/>
            <w:vAlign w:val="bottom"/>
            <w:hideMark/>
          </w:tcPr>
          <w:p w14:paraId="2701E16A"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14,186</w:t>
            </w:r>
          </w:p>
        </w:tc>
        <w:tc>
          <w:tcPr>
            <w:tcW w:w="850" w:type="dxa"/>
            <w:tcBorders>
              <w:top w:val="nil"/>
              <w:left w:val="nil"/>
              <w:bottom w:val="single" w:sz="4" w:space="0" w:color="auto"/>
              <w:right w:val="single" w:sz="4" w:space="0" w:color="auto"/>
            </w:tcBorders>
            <w:shd w:val="clear" w:color="000000" w:fill="FFFFFF"/>
            <w:vAlign w:val="bottom"/>
          </w:tcPr>
          <w:p w14:paraId="0E31686B"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14,201</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bottom"/>
          </w:tcPr>
          <w:p w14:paraId="187F7A3C"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14,201</w:t>
            </w:r>
          </w:p>
        </w:tc>
        <w:tc>
          <w:tcPr>
            <w:tcW w:w="126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D810D76"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42,588</w:t>
            </w:r>
          </w:p>
        </w:tc>
      </w:tr>
      <w:tr w:rsidR="001454B0" w:rsidRPr="001454B0" w14:paraId="648A59BE" w14:textId="77777777" w:rsidTr="00D30366">
        <w:trPr>
          <w:trHeight w:val="300"/>
        </w:trPr>
        <w:tc>
          <w:tcPr>
            <w:tcW w:w="3168" w:type="dxa"/>
            <w:tcBorders>
              <w:top w:val="nil"/>
              <w:left w:val="single" w:sz="4" w:space="0" w:color="auto"/>
              <w:bottom w:val="single" w:sz="4" w:space="0" w:color="auto"/>
              <w:right w:val="single" w:sz="4" w:space="0" w:color="auto"/>
            </w:tcBorders>
            <w:shd w:val="clear" w:color="000000" w:fill="FFFFFF"/>
            <w:noWrap/>
            <w:vAlign w:val="bottom"/>
            <w:hideMark/>
          </w:tcPr>
          <w:p w14:paraId="742D0E1D" w14:textId="77777777" w:rsidR="001454B0" w:rsidRPr="001454B0" w:rsidRDefault="001454B0" w:rsidP="001454B0">
            <w:pPr>
              <w:rPr>
                <w:rFonts w:ascii="Arial" w:eastAsia="Times New Roman" w:hAnsi="Arial" w:cs="Arial"/>
                <w:color w:val="000000"/>
                <w:lang w:eastAsia="mk-MK"/>
              </w:rPr>
            </w:pPr>
            <w:r w:rsidRPr="001454B0">
              <w:rPr>
                <w:rFonts w:ascii="Arial" w:eastAsia="Times New Roman" w:hAnsi="Arial" w:cs="Arial"/>
                <w:color w:val="000000"/>
                <w:lang w:eastAsia="mk-MK"/>
              </w:rPr>
              <w:t>For storage анд maintenance</w:t>
            </w:r>
          </w:p>
        </w:tc>
        <w:tc>
          <w:tcPr>
            <w:tcW w:w="992" w:type="dxa"/>
            <w:tcBorders>
              <w:top w:val="nil"/>
              <w:left w:val="nil"/>
              <w:bottom w:val="single" w:sz="4" w:space="0" w:color="auto"/>
              <w:right w:val="single" w:sz="4" w:space="0" w:color="auto"/>
            </w:tcBorders>
            <w:shd w:val="clear" w:color="000000" w:fill="FFFFFF"/>
            <w:noWrap/>
            <w:vAlign w:val="bottom"/>
            <w:hideMark/>
          </w:tcPr>
          <w:p w14:paraId="7F835748"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en-GB"/>
              </w:rPr>
              <w:t>5,812</w:t>
            </w:r>
          </w:p>
        </w:tc>
        <w:tc>
          <w:tcPr>
            <w:tcW w:w="850" w:type="dxa"/>
            <w:tcBorders>
              <w:top w:val="nil"/>
              <w:left w:val="nil"/>
              <w:bottom w:val="single" w:sz="4" w:space="0" w:color="auto"/>
              <w:right w:val="single" w:sz="4" w:space="0" w:color="auto"/>
            </w:tcBorders>
            <w:shd w:val="clear" w:color="000000" w:fill="FFFFFF"/>
            <w:vAlign w:val="bottom"/>
          </w:tcPr>
          <w:p w14:paraId="6CB862F5"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6,202</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bottom"/>
          </w:tcPr>
          <w:p w14:paraId="78B9504E"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6,593</w:t>
            </w:r>
          </w:p>
        </w:tc>
        <w:tc>
          <w:tcPr>
            <w:tcW w:w="126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84AB18D"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18,607</w:t>
            </w:r>
          </w:p>
        </w:tc>
      </w:tr>
      <w:tr w:rsidR="001454B0" w:rsidRPr="001454B0" w14:paraId="47B8792B" w14:textId="77777777" w:rsidTr="00D30366">
        <w:trPr>
          <w:trHeight w:val="300"/>
        </w:trPr>
        <w:tc>
          <w:tcPr>
            <w:tcW w:w="3168" w:type="dxa"/>
            <w:tcBorders>
              <w:top w:val="nil"/>
              <w:left w:val="single" w:sz="4" w:space="0" w:color="auto"/>
              <w:bottom w:val="single" w:sz="4" w:space="0" w:color="auto"/>
              <w:right w:val="single" w:sz="4" w:space="0" w:color="auto"/>
            </w:tcBorders>
            <w:shd w:val="clear" w:color="000000" w:fill="FFFFFF"/>
            <w:noWrap/>
            <w:vAlign w:val="bottom"/>
            <w:hideMark/>
          </w:tcPr>
          <w:p w14:paraId="2AA1C10A" w14:textId="77777777" w:rsidR="001454B0" w:rsidRPr="001454B0" w:rsidRDefault="001454B0" w:rsidP="001454B0">
            <w:pPr>
              <w:rPr>
                <w:rFonts w:ascii="Arial" w:eastAsia="Times New Roman" w:hAnsi="Arial" w:cs="Arial"/>
                <w:color w:val="000000"/>
                <w:lang w:eastAsia="mk-MK"/>
              </w:rPr>
            </w:pPr>
            <w:r w:rsidRPr="001454B0">
              <w:rPr>
                <w:rFonts w:ascii="Arial" w:eastAsia="Times New Roman" w:hAnsi="Arial" w:cs="Arial"/>
                <w:color w:val="000000"/>
                <w:lang w:eastAsia="mk-MK"/>
              </w:rPr>
              <w:t>For current operation of MAKORA</w:t>
            </w:r>
          </w:p>
        </w:tc>
        <w:tc>
          <w:tcPr>
            <w:tcW w:w="992" w:type="dxa"/>
            <w:tcBorders>
              <w:top w:val="nil"/>
              <w:left w:val="nil"/>
              <w:bottom w:val="single" w:sz="4" w:space="0" w:color="auto"/>
              <w:right w:val="single" w:sz="4" w:space="0" w:color="auto"/>
            </w:tcBorders>
            <w:shd w:val="clear" w:color="000000" w:fill="FFFFFF"/>
            <w:noWrap/>
            <w:vAlign w:val="bottom"/>
            <w:hideMark/>
          </w:tcPr>
          <w:p w14:paraId="1A776F82"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0,5</w:t>
            </w:r>
          </w:p>
        </w:tc>
        <w:tc>
          <w:tcPr>
            <w:tcW w:w="850" w:type="dxa"/>
            <w:tcBorders>
              <w:top w:val="nil"/>
              <w:left w:val="nil"/>
              <w:bottom w:val="single" w:sz="4" w:space="0" w:color="auto"/>
              <w:right w:val="single" w:sz="4" w:space="0" w:color="auto"/>
            </w:tcBorders>
            <w:shd w:val="clear" w:color="000000" w:fill="FFFFFF"/>
            <w:vAlign w:val="bottom"/>
          </w:tcPr>
          <w:p w14:paraId="72FD7DA7"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0,5</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bottom"/>
          </w:tcPr>
          <w:p w14:paraId="01CA6F0D"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0,5</w:t>
            </w:r>
          </w:p>
        </w:tc>
        <w:tc>
          <w:tcPr>
            <w:tcW w:w="126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E12F11B"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1,5</w:t>
            </w:r>
          </w:p>
        </w:tc>
      </w:tr>
      <w:tr w:rsidR="001454B0" w:rsidRPr="001454B0" w14:paraId="08ED840C" w14:textId="77777777" w:rsidTr="00D30366">
        <w:trPr>
          <w:trHeight w:val="300"/>
        </w:trPr>
        <w:tc>
          <w:tcPr>
            <w:tcW w:w="316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B0D47BB" w14:textId="77777777" w:rsidR="001454B0" w:rsidRPr="001454B0" w:rsidRDefault="001454B0" w:rsidP="001454B0">
            <w:pPr>
              <w:rPr>
                <w:rFonts w:ascii="Arial" w:eastAsia="Times New Roman" w:hAnsi="Arial" w:cs="Arial"/>
                <w:color w:val="000000"/>
                <w:lang w:eastAsia="mk-MK"/>
              </w:rPr>
            </w:pPr>
            <w:r w:rsidRPr="001454B0">
              <w:rPr>
                <w:rFonts w:ascii="Arial" w:eastAsia="Times New Roman" w:hAnsi="Arial" w:cs="Arial"/>
                <w:color w:val="000000"/>
                <w:lang w:eastAsia="mk-MK"/>
              </w:rPr>
              <w:t>Total</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14:paraId="178593FF"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20,498</w:t>
            </w:r>
          </w:p>
        </w:tc>
        <w:tc>
          <w:tcPr>
            <w:tcW w:w="850" w:type="dxa"/>
            <w:tcBorders>
              <w:top w:val="nil"/>
              <w:left w:val="nil"/>
              <w:bottom w:val="single" w:sz="4" w:space="0" w:color="auto"/>
              <w:right w:val="single" w:sz="4" w:space="0" w:color="auto"/>
            </w:tcBorders>
            <w:shd w:val="clear" w:color="auto" w:fill="F2F2F2" w:themeFill="background1" w:themeFillShade="F2"/>
            <w:vAlign w:val="bottom"/>
          </w:tcPr>
          <w:p w14:paraId="7A8B66EA"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20,903</w:t>
            </w:r>
          </w:p>
        </w:tc>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0F81193"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21,294</w:t>
            </w:r>
          </w:p>
        </w:tc>
        <w:tc>
          <w:tcPr>
            <w:tcW w:w="126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7C703E6" w14:textId="77777777" w:rsidR="001454B0" w:rsidRPr="001454B0" w:rsidRDefault="001454B0" w:rsidP="001454B0">
            <w:pPr>
              <w:jc w:val="right"/>
              <w:rPr>
                <w:rFonts w:ascii="Arial" w:eastAsia="Times New Roman" w:hAnsi="Arial" w:cs="Arial"/>
                <w:lang w:eastAsia="mk-MK"/>
              </w:rPr>
            </w:pPr>
            <w:r w:rsidRPr="001454B0">
              <w:rPr>
                <w:rFonts w:ascii="Arial" w:eastAsia="Times New Roman" w:hAnsi="Arial" w:cs="Arial"/>
                <w:lang w:eastAsia="mk-MK"/>
              </w:rPr>
              <w:t>62,695</w:t>
            </w:r>
          </w:p>
        </w:tc>
      </w:tr>
    </w:tbl>
    <w:p w14:paraId="1AEF6CA5" w14:textId="77777777" w:rsidR="001454B0" w:rsidRPr="001454B0" w:rsidRDefault="001454B0" w:rsidP="001454B0">
      <w:pPr>
        <w:pStyle w:val="Default"/>
        <w:ind w:left="426" w:right="369"/>
        <w:rPr>
          <w:rFonts w:ascii="Arial" w:hAnsi="Arial" w:cs="Arial"/>
          <w:i/>
          <w:sz w:val="22"/>
          <w:szCs w:val="22"/>
        </w:rPr>
      </w:pPr>
      <w:r w:rsidRPr="001454B0">
        <w:rPr>
          <w:rFonts w:ascii="Arial" w:hAnsi="Arial" w:cs="Arial"/>
          <w:sz w:val="22"/>
          <w:szCs w:val="22"/>
        </w:rPr>
        <w:fldChar w:fldCharType="end"/>
      </w:r>
      <w:r w:rsidRPr="001454B0">
        <w:rPr>
          <w:rFonts w:ascii="Arial" w:hAnsi="Arial" w:cs="Arial"/>
          <w:i/>
          <w:sz w:val="22"/>
          <w:szCs w:val="22"/>
        </w:rPr>
        <w:t xml:space="preserve"> </w:t>
      </w:r>
      <w:r w:rsidRPr="001454B0">
        <w:rPr>
          <w:rFonts w:ascii="Arial" w:hAnsi="Arial" w:cs="Arial"/>
          <w:i/>
          <w:sz w:val="22"/>
          <w:szCs w:val="22"/>
          <w:lang w:val="en-US"/>
        </w:rPr>
        <w:t>Source</w:t>
      </w:r>
      <w:r w:rsidRPr="001454B0">
        <w:rPr>
          <w:rFonts w:ascii="Arial" w:hAnsi="Arial" w:cs="Arial"/>
          <w:i/>
          <w:sz w:val="22"/>
          <w:szCs w:val="22"/>
        </w:rPr>
        <w:t xml:space="preserve">: </w:t>
      </w:r>
      <w:r w:rsidRPr="001454B0">
        <w:rPr>
          <w:rFonts w:ascii="Arial" w:hAnsi="Arial" w:cs="Arial"/>
          <w:i/>
          <w:iCs/>
          <w:sz w:val="22"/>
          <w:szCs w:val="22"/>
        </w:rPr>
        <w:t>Action plan for the establishment of compulsory reserves</w:t>
      </w:r>
      <w:r w:rsidRPr="001454B0">
        <w:rPr>
          <w:rFonts w:ascii="Arial" w:hAnsi="Arial" w:cs="Arial"/>
          <w:sz w:val="22"/>
          <w:szCs w:val="22"/>
          <w:lang w:val="en-US"/>
        </w:rPr>
        <w:t xml:space="preserve"> </w:t>
      </w:r>
      <w:r w:rsidRPr="001454B0">
        <w:rPr>
          <w:rFonts w:ascii="Arial" w:hAnsi="Arial" w:cs="Arial"/>
          <w:i/>
          <w:iCs/>
          <w:sz w:val="22"/>
          <w:szCs w:val="22"/>
        </w:rPr>
        <w:t>2023-2025</w:t>
      </w:r>
      <w:r w:rsidRPr="001454B0">
        <w:rPr>
          <w:rFonts w:ascii="Arial" w:hAnsi="Arial" w:cs="Arial"/>
          <w:i/>
          <w:sz w:val="22"/>
          <w:szCs w:val="22"/>
        </w:rPr>
        <w:t xml:space="preserve">, </w:t>
      </w:r>
      <w:r w:rsidRPr="001454B0">
        <w:rPr>
          <w:rFonts w:ascii="Arial" w:hAnsi="Arial" w:cs="Arial"/>
          <w:i/>
          <w:iCs/>
          <w:color w:val="auto"/>
          <w:sz w:val="22"/>
          <w:szCs w:val="22"/>
          <w:lang w:val="en-US"/>
        </w:rPr>
        <w:t>Official Gazette</w:t>
      </w:r>
      <w:r w:rsidRPr="001454B0">
        <w:rPr>
          <w:rFonts w:ascii="Arial" w:hAnsi="Arial" w:cs="Arial"/>
          <w:i/>
          <w:iCs/>
          <w:sz w:val="22"/>
          <w:szCs w:val="22"/>
          <w:lang w:val="en-US"/>
        </w:rPr>
        <w:t xml:space="preserve"> </w:t>
      </w:r>
      <w:r w:rsidRPr="001454B0">
        <w:rPr>
          <w:rFonts w:ascii="Arial" w:hAnsi="Arial" w:cs="Arial"/>
          <w:i/>
          <w:iCs/>
          <w:sz w:val="22"/>
          <w:szCs w:val="22"/>
        </w:rPr>
        <w:t xml:space="preserve"> </w:t>
      </w:r>
      <w:r w:rsidRPr="001454B0">
        <w:rPr>
          <w:rFonts w:ascii="Arial" w:hAnsi="Arial" w:cs="Arial"/>
          <w:i/>
          <w:iCs/>
          <w:color w:val="auto"/>
          <w:sz w:val="22"/>
          <w:szCs w:val="22"/>
          <w:lang w:val="en-US"/>
        </w:rPr>
        <w:t xml:space="preserve">of the Republic of </w:t>
      </w:r>
      <w:r w:rsidRPr="001454B0">
        <w:rPr>
          <w:rFonts w:ascii="Arial" w:hAnsi="Arial" w:cs="Arial"/>
          <w:i/>
          <w:iCs/>
          <w:sz w:val="22"/>
          <w:szCs w:val="22"/>
          <w:lang w:val="en-US"/>
        </w:rPr>
        <w:t xml:space="preserve">North </w:t>
      </w:r>
      <w:r w:rsidRPr="001454B0">
        <w:rPr>
          <w:rFonts w:ascii="Arial" w:hAnsi="Arial" w:cs="Arial"/>
          <w:i/>
          <w:iCs/>
          <w:color w:val="auto"/>
          <w:sz w:val="22"/>
          <w:szCs w:val="22"/>
          <w:lang w:val="en-US"/>
        </w:rPr>
        <w:t>Macedonia</w:t>
      </w:r>
      <w:r w:rsidRPr="001454B0">
        <w:rPr>
          <w:rFonts w:ascii="Arial" w:hAnsi="Arial" w:cs="Arial"/>
          <w:i/>
          <w:iCs/>
          <w:sz w:val="22"/>
          <w:szCs w:val="22"/>
          <w:lang w:val="en-US"/>
        </w:rPr>
        <w:t xml:space="preserve"> no</w:t>
      </w:r>
      <w:r w:rsidRPr="001454B0">
        <w:rPr>
          <w:rFonts w:ascii="Arial" w:hAnsi="Arial" w:cs="Arial"/>
          <w:i/>
          <w:iCs/>
          <w:sz w:val="22"/>
          <w:szCs w:val="22"/>
        </w:rPr>
        <w:t>. 33/23</w:t>
      </w:r>
    </w:p>
    <w:p w14:paraId="6E27B6D4" w14:textId="77777777" w:rsidR="001454B0" w:rsidRPr="001454B0" w:rsidRDefault="001454B0" w:rsidP="001454B0">
      <w:pPr>
        <w:pStyle w:val="Default"/>
        <w:ind w:left="426" w:right="369"/>
        <w:rPr>
          <w:rFonts w:ascii="Arial" w:hAnsi="Arial" w:cs="Arial"/>
          <w:i/>
          <w:sz w:val="22"/>
          <w:szCs w:val="22"/>
        </w:rPr>
      </w:pPr>
    </w:p>
    <w:p w14:paraId="049DC866" w14:textId="77777777" w:rsidR="001454B0" w:rsidRPr="001454B0" w:rsidRDefault="001454B0" w:rsidP="001454B0">
      <w:pPr>
        <w:shd w:val="clear" w:color="auto" w:fill="FFFFFF"/>
        <w:spacing w:after="100" w:afterAutospacing="1"/>
        <w:ind w:firstLine="720"/>
        <w:jc w:val="both"/>
        <w:rPr>
          <w:rFonts w:ascii="Arial" w:eastAsia="Times New Roman" w:hAnsi="Arial" w:cs="Arial"/>
          <w:color w:val="212529"/>
        </w:rPr>
      </w:pPr>
    </w:p>
    <w:p w14:paraId="341D9B64" w14:textId="77777777" w:rsidR="001454B0" w:rsidRPr="001454B0" w:rsidRDefault="001454B0" w:rsidP="001454B0">
      <w:pPr>
        <w:shd w:val="clear" w:color="auto" w:fill="FFFFFF"/>
        <w:spacing w:after="100" w:afterAutospacing="1"/>
        <w:ind w:firstLine="720"/>
        <w:jc w:val="both"/>
        <w:rPr>
          <w:rFonts w:ascii="Arial" w:eastAsia="Times New Roman" w:hAnsi="Arial" w:cs="Arial"/>
          <w:color w:val="212529"/>
        </w:rPr>
      </w:pPr>
      <w:r w:rsidRPr="001454B0">
        <w:rPr>
          <w:rFonts w:ascii="Arial" w:eastAsia="Times New Roman" w:hAnsi="Arial" w:cs="Arial"/>
          <w:color w:val="212529"/>
        </w:rPr>
        <w:t>If compared the approved funds in the budget of the Compulsory Oil Reserves Agency with the planned funds in the Action Plan 2023-2025, it can be concluded that less funds have been approved than planned. The provided funds in the budget of the Agency for filling the compulsory oil reserves is as follows: 19,986 million euros in 2023 or 512.000 euros less than the planned funds in the action plan, 13,259 million euros in 2024 or 20.890 euros less than the planned funds. The planned purchases of certain quantities of derivatives for the compulsory reserves in the action plan have not been fully realized due to the fact that the planned funds have not been secured according to the action plan in 2023 and 2024. Moreover, have to be taken into consideration the growth in the prices of oil derivatives in the period from the adoption of the action plan until today, which indicates the fact that more funds are needed than originally planned for the procurement foreseen in the action plan 2023-2025. Of course, the necessary funds for the purchase of tickets, which according to the action plan should cover a period of 14 days, should also be taken into account.</w:t>
      </w:r>
    </w:p>
    <w:p w14:paraId="6EDF16DA" w14:textId="77777777" w:rsidR="001454B0" w:rsidRPr="001454B0" w:rsidRDefault="001454B0" w:rsidP="001454B0">
      <w:pPr>
        <w:shd w:val="clear" w:color="auto" w:fill="FFFFFF"/>
        <w:spacing w:after="100" w:afterAutospacing="1"/>
        <w:ind w:firstLine="720"/>
        <w:jc w:val="both"/>
        <w:rPr>
          <w:rFonts w:ascii="Arial" w:eastAsia="Times New Roman" w:hAnsi="Arial" w:cs="Arial"/>
          <w:color w:val="212529"/>
        </w:rPr>
      </w:pPr>
    </w:p>
    <w:p w14:paraId="18D7E52D" w14:textId="77777777" w:rsidR="001454B0" w:rsidRPr="001454B0" w:rsidRDefault="001454B0" w:rsidP="001454B0">
      <w:pPr>
        <w:pStyle w:val="Default"/>
        <w:jc w:val="center"/>
        <w:rPr>
          <w:rFonts w:ascii="Arial" w:hAnsi="Arial" w:cs="Arial"/>
          <w:b/>
          <w:sz w:val="22"/>
          <w:szCs w:val="22"/>
          <w:lang w:val="en-US"/>
        </w:rPr>
      </w:pPr>
      <w:r w:rsidRPr="001454B0">
        <w:rPr>
          <w:rFonts w:ascii="Arial" w:hAnsi="Arial" w:cs="Arial"/>
          <w:b/>
          <w:sz w:val="22"/>
          <w:szCs w:val="22"/>
          <w:lang w:val="en-US"/>
        </w:rPr>
        <w:lastRenderedPageBreak/>
        <w:t>CONCLUSION</w:t>
      </w:r>
    </w:p>
    <w:p w14:paraId="2D7FB362" w14:textId="77777777" w:rsidR="001454B0" w:rsidRPr="001454B0" w:rsidRDefault="001454B0" w:rsidP="001454B0">
      <w:pPr>
        <w:pStyle w:val="Default"/>
        <w:jc w:val="center"/>
        <w:rPr>
          <w:rFonts w:ascii="Arial" w:hAnsi="Arial" w:cs="Arial"/>
          <w:color w:val="C00000"/>
          <w:sz w:val="22"/>
          <w:szCs w:val="22"/>
        </w:rPr>
      </w:pPr>
    </w:p>
    <w:p w14:paraId="17118DBF" w14:textId="77777777" w:rsidR="001454B0" w:rsidRPr="001454B0" w:rsidRDefault="001454B0" w:rsidP="001454B0">
      <w:pPr>
        <w:autoSpaceDE w:val="0"/>
        <w:autoSpaceDN w:val="0"/>
        <w:adjustRightInd w:val="0"/>
        <w:ind w:firstLine="720"/>
        <w:jc w:val="both"/>
        <w:rPr>
          <w:rFonts w:ascii="Arial" w:eastAsiaTheme="minorHAnsi" w:hAnsi="Arial" w:cs="Arial"/>
        </w:rPr>
      </w:pPr>
      <w:r w:rsidRPr="001454B0">
        <w:rPr>
          <w:rFonts w:ascii="Arial" w:eastAsiaTheme="minorHAnsi" w:hAnsi="Arial" w:cs="Arial"/>
        </w:rPr>
        <w:t>Compulsory oil reserves are established and maintenance in order to ensure uninterrupted supply to the market of crude oil and/or oil derivatives in the event of disturbed energy security caused by a major disruption and a significant and sudden drop in the supply of crude oil and oil derivatives to the market.</w:t>
      </w:r>
    </w:p>
    <w:p w14:paraId="17779562" w14:textId="77777777" w:rsidR="001454B0" w:rsidRPr="001454B0" w:rsidRDefault="001454B0" w:rsidP="001454B0">
      <w:pPr>
        <w:autoSpaceDE w:val="0"/>
        <w:autoSpaceDN w:val="0"/>
        <w:adjustRightInd w:val="0"/>
        <w:ind w:firstLine="720"/>
        <w:jc w:val="both"/>
        <w:rPr>
          <w:rFonts w:ascii="Arial" w:eastAsiaTheme="minorHAnsi" w:hAnsi="Arial" w:cs="Arial"/>
        </w:rPr>
      </w:pPr>
      <w:r w:rsidRPr="001454B0">
        <w:rPr>
          <w:rFonts w:ascii="Arial" w:eastAsiaTheme="minorHAnsi" w:hAnsi="Arial" w:cs="Arial"/>
        </w:rPr>
        <w:t>Global Strategic Petroleum Reserves (GSPR) refers to crude oil held by a country's government, as well as private industry, to protect the economy and help maintain national security during an energy crisis. Strategic reserves are intended to be used to cover short-term supply disruptions.</w:t>
      </w:r>
    </w:p>
    <w:p w14:paraId="61AA7E88" w14:textId="77777777" w:rsidR="001454B0" w:rsidRPr="001454B0" w:rsidRDefault="001454B0" w:rsidP="001454B0">
      <w:pPr>
        <w:autoSpaceDE w:val="0"/>
        <w:autoSpaceDN w:val="0"/>
        <w:adjustRightInd w:val="0"/>
        <w:ind w:firstLine="720"/>
        <w:jc w:val="both"/>
        <w:rPr>
          <w:rFonts w:ascii="Arial" w:eastAsiaTheme="minorHAnsi" w:hAnsi="Arial" w:cs="Arial"/>
        </w:rPr>
      </w:pPr>
      <w:r w:rsidRPr="001454B0">
        <w:rPr>
          <w:rFonts w:ascii="Arial" w:eastAsiaTheme="minorHAnsi" w:hAnsi="Arial" w:cs="Arial"/>
        </w:rPr>
        <w:t>In 2004, about 4.1 billion barrels (650,000,000 m3) of oil constituted the strategic reserves of the member countries of the International Energy Agency, of which 1.4 billion were controlled by national governments and the rest by the private sector. The strategic oil reserves of the United States are consistently the largest compared to other member countries of the International Energy Agency.</w:t>
      </w:r>
    </w:p>
    <w:p w14:paraId="64C50E81" w14:textId="77777777" w:rsidR="001454B0" w:rsidRPr="001454B0" w:rsidRDefault="001454B0" w:rsidP="001454B0">
      <w:pPr>
        <w:autoSpaceDE w:val="0"/>
        <w:autoSpaceDN w:val="0"/>
        <w:adjustRightInd w:val="0"/>
        <w:ind w:firstLine="720"/>
        <w:jc w:val="both"/>
        <w:rPr>
          <w:rFonts w:ascii="Arial" w:eastAsiaTheme="minorHAnsi" w:hAnsi="Arial" w:cs="Arial"/>
        </w:rPr>
      </w:pPr>
      <w:r w:rsidRPr="001454B0">
        <w:rPr>
          <w:rFonts w:ascii="Arial" w:eastAsiaTheme="minorHAnsi" w:hAnsi="Arial" w:cs="Arial"/>
        </w:rPr>
        <w:t>EU member countries are obliged to maintain compulsory oil reserves at the level of 90 days of daily average net imports or 61 days of average daily domestic consumption, in the previous calendar year, depending on which of the two specified quantities is greater. Compulsory oil reserves can be used in the event of a supply disruption to the market. According to the available Eurostat data, oil constitutes 37% of the EU's energy mix in 2022. Although the transition to alternative energy sources is underway, EU countries are still dependent on the import of crude oil and oil derivatives. It is therefore essential to maintain certain quantities of stocks of oil derivatives to be used in the event of interruptions in the supply of oil. Member countries analyze the risks of oil supply interruptions and introduce crisis management procedures to be able to react in the event of an oil crisis. During a supply crisis, the European Commission is responsible for organizing consultation between EU countries. The EU is also in coordination with the oil reserves system of the International Energy Agency.</w:t>
      </w:r>
    </w:p>
    <w:p w14:paraId="76CA68AA" w14:textId="77777777" w:rsidR="001454B0" w:rsidRPr="001454B0" w:rsidRDefault="001454B0" w:rsidP="001454B0">
      <w:pPr>
        <w:autoSpaceDE w:val="0"/>
        <w:autoSpaceDN w:val="0"/>
        <w:adjustRightInd w:val="0"/>
        <w:ind w:firstLine="720"/>
        <w:jc w:val="both"/>
        <w:rPr>
          <w:rFonts w:ascii="Arial" w:eastAsiaTheme="minorHAnsi" w:hAnsi="Arial" w:cs="Arial"/>
        </w:rPr>
      </w:pPr>
      <w:r w:rsidRPr="001454B0">
        <w:rPr>
          <w:rFonts w:ascii="Arial" w:eastAsiaTheme="minorHAnsi" w:hAnsi="Arial" w:cs="Arial"/>
        </w:rPr>
        <w:t>Compulsory oil reserves in Macedonia are kept according to a law that is in line with the EU directives that regulate this area. The days of coverage with oil products in 2023 amount to 53 days, which means that in order to achieve a coverage of 90 days of the average daily net import as foreseen in the 2023-2024 action plan, it is necessary to procure oil derivatives in quantities that would cover another 37 days, that is, about 70% of the existing reserves available to the state. It should be taken into account the fact that the currently available compulsory oil reserves have been procured in the period from the establishment of the Compulsory Oil Reserves Agency until today, i.e. in a period of 14 years. In order to complete compulsory reserves at the dynamics at which they have been procured so far, a period of about 7 years will be required.</w:t>
      </w:r>
    </w:p>
    <w:p w14:paraId="4E1E40FC" w14:textId="77777777" w:rsidR="001454B0" w:rsidRPr="001454B0" w:rsidRDefault="001454B0" w:rsidP="001454B0">
      <w:pPr>
        <w:autoSpaceDE w:val="0"/>
        <w:autoSpaceDN w:val="0"/>
        <w:adjustRightInd w:val="0"/>
        <w:ind w:firstLine="720"/>
        <w:jc w:val="both"/>
        <w:rPr>
          <w:rFonts w:ascii="Arial" w:hAnsi="Arial" w:cs="Arial"/>
        </w:rPr>
      </w:pPr>
      <w:r w:rsidRPr="001454B0">
        <w:rPr>
          <w:rFonts w:ascii="Arial" w:hAnsi="Arial" w:cs="Arial"/>
        </w:rPr>
        <w:t>According to the Law on Compulsory Oil Reserves, it is foreseen that the Macedonian government will form the compulsory oil reserves by December 31, 2022 at the latest. This means that the legal deadline for the formation of reserves has already passed and it is necessary to complete them in the shortest possible time. It is necessary to make efforts to ensure sufficient funds for the completion of compulsory oil reserves in one of the ways indicated in the law. The compulsory reserves could be complete: by increasing the fee for compulsory reserves of crude oil and/or oil derivatives which is paid when importing oil derivatives, with funds obtained on the basis of international cooperation of programs and projects, credits and other sources.</w:t>
      </w:r>
    </w:p>
    <w:p w14:paraId="79AFEDDE" w14:textId="77777777" w:rsidR="001454B0" w:rsidRPr="001454B0" w:rsidRDefault="001454B0" w:rsidP="001454B0">
      <w:pPr>
        <w:pStyle w:val="Default"/>
        <w:jc w:val="both"/>
        <w:rPr>
          <w:rFonts w:ascii="Arial" w:hAnsi="Arial" w:cs="Arial"/>
          <w:color w:val="auto"/>
          <w:sz w:val="22"/>
          <w:szCs w:val="22"/>
          <w:highlight w:val="yellow"/>
        </w:rPr>
      </w:pPr>
    </w:p>
    <w:p w14:paraId="6D45542F" w14:textId="77777777" w:rsidR="001454B0" w:rsidRPr="001454B0" w:rsidRDefault="001454B0" w:rsidP="001454B0">
      <w:pPr>
        <w:pStyle w:val="Default"/>
        <w:jc w:val="both"/>
        <w:rPr>
          <w:rFonts w:ascii="Arial" w:hAnsi="Arial" w:cs="Arial"/>
          <w:color w:val="auto"/>
          <w:sz w:val="22"/>
          <w:szCs w:val="22"/>
          <w:highlight w:val="yellow"/>
        </w:rPr>
      </w:pPr>
    </w:p>
    <w:p w14:paraId="17BB76B4" w14:textId="77777777" w:rsidR="001454B0" w:rsidRPr="001454B0" w:rsidRDefault="001454B0" w:rsidP="001454B0">
      <w:pPr>
        <w:pStyle w:val="Default"/>
        <w:jc w:val="both"/>
        <w:rPr>
          <w:rFonts w:ascii="Arial" w:hAnsi="Arial" w:cs="Arial"/>
          <w:color w:val="auto"/>
          <w:sz w:val="22"/>
          <w:szCs w:val="22"/>
          <w:highlight w:val="yellow"/>
        </w:rPr>
      </w:pPr>
    </w:p>
    <w:p w14:paraId="0DC592F6" w14:textId="77777777" w:rsidR="001454B0" w:rsidRPr="001454B0" w:rsidRDefault="001454B0" w:rsidP="001454B0">
      <w:pPr>
        <w:pStyle w:val="Default"/>
        <w:jc w:val="both"/>
        <w:rPr>
          <w:rFonts w:ascii="Arial" w:hAnsi="Arial" w:cs="Arial"/>
          <w:color w:val="auto"/>
          <w:sz w:val="22"/>
          <w:szCs w:val="22"/>
          <w:highlight w:val="yellow"/>
          <w:lang w:val="en-US"/>
        </w:rPr>
      </w:pPr>
    </w:p>
    <w:p w14:paraId="6FA3AA5A" w14:textId="77777777" w:rsidR="001454B0" w:rsidRPr="001454B0" w:rsidRDefault="001454B0" w:rsidP="001454B0">
      <w:pPr>
        <w:pStyle w:val="Default"/>
        <w:jc w:val="both"/>
        <w:rPr>
          <w:rFonts w:ascii="Arial" w:hAnsi="Arial" w:cs="Arial"/>
          <w:color w:val="auto"/>
          <w:sz w:val="22"/>
          <w:szCs w:val="22"/>
          <w:highlight w:val="yellow"/>
          <w:lang w:val="en-US"/>
        </w:rPr>
      </w:pPr>
    </w:p>
    <w:p w14:paraId="74CB275E" w14:textId="77777777" w:rsidR="001454B0" w:rsidRPr="001454B0" w:rsidRDefault="001454B0" w:rsidP="001454B0">
      <w:pPr>
        <w:pStyle w:val="Default"/>
        <w:jc w:val="both"/>
        <w:rPr>
          <w:rFonts w:ascii="Arial" w:hAnsi="Arial" w:cs="Arial"/>
          <w:color w:val="auto"/>
          <w:sz w:val="22"/>
          <w:szCs w:val="22"/>
          <w:highlight w:val="yellow"/>
          <w:lang w:val="en-US"/>
        </w:rPr>
      </w:pPr>
    </w:p>
    <w:p w14:paraId="678300D3" w14:textId="77777777" w:rsidR="001454B0" w:rsidRPr="001454B0" w:rsidRDefault="001454B0" w:rsidP="001454B0">
      <w:pPr>
        <w:pStyle w:val="Default"/>
        <w:jc w:val="both"/>
        <w:rPr>
          <w:rFonts w:ascii="Arial" w:hAnsi="Arial" w:cs="Arial"/>
          <w:b/>
          <w:color w:val="auto"/>
          <w:sz w:val="22"/>
          <w:szCs w:val="22"/>
          <w:lang w:val="en-US"/>
        </w:rPr>
      </w:pPr>
      <w:r w:rsidRPr="001454B0">
        <w:rPr>
          <w:rFonts w:ascii="Arial" w:hAnsi="Arial" w:cs="Arial"/>
          <w:b/>
          <w:color w:val="auto"/>
          <w:sz w:val="22"/>
          <w:szCs w:val="22"/>
          <w:lang w:val="en-US"/>
        </w:rPr>
        <w:lastRenderedPageBreak/>
        <w:t>References</w:t>
      </w:r>
    </w:p>
    <w:p w14:paraId="27C39E42"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rPr>
        <w:t>Agreement on an International Energy Program (signed in November 1974 and revised version in May 2014).</w:t>
      </w:r>
    </w:p>
    <w:p w14:paraId="169B0A45"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rPr>
        <w:t>International Energy Agency, Origins and development- IN-DEPTH ANALYSIS, EPRS | European Parliamentary Research Service Author: Alex Wilson Members' Research Service May 2016,</w:t>
      </w:r>
    </w:p>
    <w:p w14:paraId="54E5A6B2"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eastAsiaTheme="minorHAnsi" w:hAnsi="Arial" w:cs="Arial"/>
          <w:color w:val="000000"/>
        </w:rPr>
      </w:pPr>
      <w:r w:rsidRPr="001454B0">
        <w:rPr>
          <w:rFonts w:ascii="Arial" w:eastAsiaTheme="minorHAnsi" w:hAnsi="Arial" w:cs="Arial"/>
          <w:color w:val="000000"/>
        </w:rPr>
        <w:t>International Energy Agency 'Energy Policies of IEA countries: European Union', 2014</w:t>
      </w:r>
    </w:p>
    <w:p w14:paraId="0938EC42"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eastAsiaTheme="minorHAnsi" w:hAnsi="Arial" w:cs="Arial"/>
          <w:color w:val="000000"/>
        </w:rPr>
      </w:pPr>
      <w:r w:rsidRPr="001454B0">
        <w:rPr>
          <w:rFonts w:ascii="Arial" w:eastAsiaTheme="minorHAnsi" w:hAnsi="Arial" w:cs="Arial"/>
          <w:color w:val="000000"/>
        </w:rPr>
        <w:t>www.energy.ec.europa.eu</w:t>
      </w:r>
    </w:p>
    <w:p w14:paraId="67CC6189"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lang w:val="de-DE"/>
        </w:rPr>
        <w:t>EUROSTAT</w:t>
      </w:r>
      <w:r w:rsidRPr="001454B0">
        <w:rPr>
          <w:rFonts w:ascii="Arial" w:hAnsi="Arial" w:cs="Arial"/>
        </w:rPr>
        <w:t xml:space="preserve">  (https://ec.europa.eu/eurostat/databrowser) </w:t>
      </w:r>
    </w:p>
    <w:p w14:paraId="26C6C280"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rPr>
        <w:t>Low on Compulsory Oil Reserves,</w:t>
      </w:r>
    </w:p>
    <w:p w14:paraId="32207A66"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rPr>
        <w:t>Action plan for the establishment of compulsory reserves 2023-2025, Official Gazette  of the Republic of North Macedonia no. 33/23</w:t>
      </w:r>
    </w:p>
    <w:p w14:paraId="230462FD"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rPr>
        <w:t xml:space="preserve">Compulsory Oil Reserves agency, </w:t>
      </w:r>
      <w:r w:rsidRPr="001454B0">
        <w:rPr>
          <w:rFonts w:ascii="Arial" w:hAnsi="Arial" w:cs="Arial"/>
        </w:rPr>
        <w:fldChar w:fldCharType="begin"/>
      </w:r>
      <w:r w:rsidRPr="001454B0">
        <w:rPr>
          <w:rFonts w:ascii="Arial" w:hAnsi="Arial" w:cs="Arial"/>
        </w:rPr>
        <w:instrText>HYPERLINK "http://www.dcor.gov.mk/"</w:instrText>
      </w:r>
      <w:r w:rsidRPr="001454B0">
        <w:rPr>
          <w:rFonts w:ascii="Arial" w:hAnsi="Arial" w:cs="Arial"/>
        </w:rPr>
      </w:r>
      <w:r w:rsidRPr="001454B0">
        <w:rPr>
          <w:rFonts w:ascii="Arial" w:hAnsi="Arial" w:cs="Arial"/>
        </w:rPr>
        <w:fldChar w:fldCharType="separate"/>
      </w:r>
      <w:r w:rsidRPr="001454B0">
        <w:rPr>
          <w:rFonts w:ascii="Arial" w:hAnsi="Arial" w:cs="Arial"/>
        </w:rPr>
        <w:t>www.dcor.gov.mk,</w:t>
      </w:r>
    </w:p>
    <w:p w14:paraId="7A5645C5"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rPr>
        <w:fldChar w:fldCharType="end"/>
      </w:r>
      <w:r w:rsidRPr="001454B0">
        <w:rPr>
          <w:rFonts w:ascii="Arial" w:hAnsi="Arial" w:cs="Arial"/>
        </w:rPr>
        <w:t xml:space="preserve"> Annual report on the operation of the Energy Regulatory Commission in 2023,</w:t>
      </w:r>
    </w:p>
    <w:p w14:paraId="5ABF89CE"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rPr>
        <w:t xml:space="preserve">NEWS RELEASE- Energy, March 2024, State Statistical Office  </w:t>
      </w:r>
    </w:p>
    <w:p w14:paraId="01168BC4"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rPr>
        <w:t xml:space="preserve">NEWS RELEASE- Energy, december 2024, State Statistical Office and </w:t>
      </w:r>
    </w:p>
    <w:p w14:paraId="58FC8F34" w14:textId="77777777" w:rsidR="001454B0" w:rsidRPr="001454B0" w:rsidRDefault="001454B0" w:rsidP="001454B0">
      <w:pPr>
        <w:pStyle w:val="Footer"/>
        <w:numPr>
          <w:ilvl w:val="0"/>
          <w:numId w:val="8"/>
        </w:numPr>
        <w:tabs>
          <w:tab w:val="clear" w:pos="4680"/>
          <w:tab w:val="clear" w:pos="9360"/>
          <w:tab w:val="left" w:pos="851"/>
          <w:tab w:val="center" w:pos="4513"/>
          <w:tab w:val="right" w:pos="9026"/>
        </w:tabs>
        <w:jc w:val="both"/>
        <w:rPr>
          <w:rFonts w:ascii="Arial" w:hAnsi="Arial" w:cs="Arial"/>
        </w:rPr>
      </w:pPr>
      <w:r w:rsidRPr="001454B0">
        <w:rPr>
          <w:rFonts w:ascii="Arial" w:hAnsi="Arial" w:cs="Arial"/>
        </w:rPr>
        <w:t xml:space="preserve">Reports of the European Commission on the progress of the RSM towards the EU, for the period 2019-2023. </w:t>
      </w:r>
    </w:p>
    <w:p w14:paraId="6C0EB626" w14:textId="77777777" w:rsidR="001454B0" w:rsidRPr="001454B0" w:rsidRDefault="001454B0" w:rsidP="001454B0">
      <w:pPr>
        <w:rPr>
          <w:rFonts w:ascii="Arial" w:hAnsi="Arial" w:cs="Arial"/>
        </w:rPr>
      </w:pPr>
    </w:p>
    <w:p w14:paraId="46D60C0D" w14:textId="77777777" w:rsidR="00A42D8F" w:rsidRPr="001454B0" w:rsidRDefault="00A42D8F" w:rsidP="001454B0">
      <w:pPr>
        <w:rPr>
          <w:rFonts w:ascii="Arial" w:hAnsi="Arial" w:cs="Arial"/>
        </w:rPr>
      </w:pPr>
    </w:p>
    <w:sectPr w:rsidR="00A42D8F" w:rsidRPr="001454B0" w:rsidSect="00E03899">
      <w:headerReference w:type="default" r:id="rId10"/>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297EF" w14:textId="77777777" w:rsidR="00644A9D" w:rsidRDefault="00644A9D" w:rsidP="0023175A">
      <w:r>
        <w:separator/>
      </w:r>
    </w:p>
  </w:endnote>
  <w:endnote w:type="continuationSeparator" w:id="0">
    <w:p w14:paraId="334CB42C" w14:textId="77777777" w:rsidR="00644A9D" w:rsidRDefault="00644A9D" w:rsidP="0023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DBA21" w14:textId="77777777" w:rsidR="00644A9D" w:rsidRDefault="00644A9D" w:rsidP="0023175A">
      <w:r>
        <w:separator/>
      </w:r>
    </w:p>
  </w:footnote>
  <w:footnote w:type="continuationSeparator" w:id="0">
    <w:p w14:paraId="758C99AE" w14:textId="77777777" w:rsidR="00644A9D" w:rsidRDefault="00644A9D" w:rsidP="0023175A">
      <w:r>
        <w:continuationSeparator/>
      </w:r>
    </w:p>
  </w:footnote>
  <w:footnote w:id="1">
    <w:p w14:paraId="0600E4CE" w14:textId="77777777" w:rsidR="001454B0" w:rsidRPr="00BE0633" w:rsidRDefault="001454B0" w:rsidP="001454B0">
      <w:pPr>
        <w:pStyle w:val="FootnoteText"/>
        <w:rPr>
          <w:rFonts w:ascii="Times New Roman" w:hAnsi="Times New Roman"/>
          <w:i/>
          <w:iCs/>
          <w:sz w:val="18"/>
          <w:szCs w:val="18"/>
        </w:rPr>
      </w:pPr>
      <w:r w:rsidRPr="00BE0633">
        <w:rPr>
          <w:rStyle w:val="FootnoteReference"/>
          <w:rFonts w:ascii="Times New Roman" w:hAnsi="Times New Roman"/>
          <w:i/>
          <w:iCs/>
          <w:sz w:val="18"/>
          <w:szCs w:val="18"/>
        </w:rPr>
        <w:footnoteRef/>
      </w:r>
      <w:r w:rsidRPr="00BE0633">
        <w:rPr>
          <w:rFonts w:ascii="Times New Roman" w:hAnsi="Times New Roman"/>
          <w:i/>
          <w:iCs/>
          <w:sz w:val="18"/>
          <w:szCs w:val="18"/>
        </w:rPr>
        <w:t xml:space="preserve"> </w:t>
      </w:r>
      <w:r>
        <w:rPr>
          <w:rFonts w:ascii="Times New Roman" w:hAnsi="Times New Roman"/>
          <w:i/>
          <w:iCs/>
          <w:color w:val="1A171B"/>
          <w:sz w:val="18"/>
          <w:szCs w:val="18"/>
        </w:rPr>
        <w:t>Official gazette</w:t>
      </w:r>
      <w:r w:rsidRPr="00BE0633">
        <w:rPr>
          <w:rFonts w:ascii="Times New Roman" w:hAnsi="Times New Roman"/>
          <w:i/>
          <w:iCs/>
          <w:color w:val="1A171B"/>
          <w:sz w:val="18"/>
          <w:szCs w:val="18"/>
        </w:rPr>
        <w:t xml:space="preserve"> L 217, 8.8.2006.,</w:t>
      </w:r>
      <w:r>
        <w:rPr>
          <w:rFonts w:ascii="Times New Roman" w:hAnsi="Times New Roman"/>
          <w:i/>
          <w:iCs/>
          <w:color w:val="1A171B"/>
          <w:sz w:val="18"/>
          <w:szCs w:val="18"/>
        </w:rPr>
        <w:t xml:space="preserve">page </w:t>
      </w:r>
      <w:r w:rsidRPr="00BE0633">
        <w:rPr>
          <w:rFonts w:ascii="Times New Roman" w:hAnsi="Times New Roman"/>
          <w:i/>
          <w:iCs/>
          <w:color w:val="1A171B"/>
          <w:sz w:val="18"/>
          <w:szCs w:val="18"/>
        </w:rPr>
        <w:t xml:space="preserve"> 8.</w:t>
      </w:r>
    </w:p>
  </w:footnote>
  <w:footnote w:id="2">
    <w:p w14:paraId="6B565C6B" w14:textId="77777777" w:rsidR="001454B0" w:rsidRPr="00EE276B" w:rsidRDefault="001454B0" w:rsidP="001454B0">
      <w:pPr>
        <w:pStyle w:val="FootnoteText"/>
        <w:rPr>
          <w:rFonts w:ascii="Times New Roman" w:hAnsi="Times New Roman"/>
          <w:i/>
          <w:iCs/>
          <w:sz w:val="18"/>
          <w:szCs w:val="18"/>
        </w:rPr>
      </w:pPr>
      <w:r w:rsidRPr="00EE276B">
        <w:rPr>
          <w:rStyle w:val="FootnoteReference"/>
          <w:rFonts w:ascii="Times New Roman" w:hAnsi="Times New Roman"/>
          <w:i/>
          <w:iCs/>
          <w:sz w:val="18"/>
          <w:szCs w:val="18"/>
        </w:rPr>
        <w:footnoteRef/>
      </w:r>
      <w:r w:rsidRPr="00EE276B">
        <w:rPr>
          <w:rFonts w:ascii="Times New Roman" w:hAnsi="Times New Roman"/>
          <w:i/>
          <w:iCs/>
          <w:sz w:val="18"/>
          <w:szCs w:val="18"/>
        </w:rPr>
        <w:t xml:space="preserve"> International Energy Agency, Origins and development- IN-DEPTH ANALYSIS, EPRS | European Parliamentary Research Service Author: Alex Wilson Members' Research Service May 2016 </w:t>
      </w:r>
    </w:p>
  </w:footnote>
  <w:footnote w:id="3">
    <w:p w14:paraId="6B246DCE" w14:textId="77777777" w:rsidR="001454B0" w:rsidRPr="00C33370" w:rsidRDefault="001454B0" w:rsidP="001454B0">
      <w:pPr>
        <w:pStyle w:val="FootnoteText"/>
        <w:rPr>
          <w:rFonts w:ascii="Times New Roman" w:hAnsi="Times New Roman"/>
          <w:i/>
          <w:iCs/>
          <w:sz w:val="18"/>
          <w:szCs w:val="18"/>
        </w:rPr>
      </w:pPr>
      <w:r w:rsidRPr="00222D24">
        <w:rPr>
          <w:rStyle w:val="FootnoteReference"/>
          <w:rFonts w:ascii="Times New Roman" w:hAnsi="Times New Roman"/>
          <w:i/>
          <w:iCs/>
          <w:sz w:val="18"/>
          <w:szCs w:val="18"/>
        </w:rPr>
        <w:footnoteRef/>
      </w:r>
      <w:r w:rsidRPr="00222D24">
        <w:rPr>
          <w:rFonts w:ascii="Times New Roman" w:hAnsi="Times New Roman"/>
          <w:i/>
          <w:iCs/>
          <w:sz w:val="18"/>
          <w:szCs w:val="18"/>
        </w:rPr>
        <w:t xml:space="preserve"> </w:t>
      </w:r>
      <w:r w:rsidRPr="00C33370">
        <w:rPr>
          <w:rFonts w:ascii="Times New Roman" w:hAnsi="Times New Roman"/>
          <w:i/>
          <w:iCs/>
          <w:sz w:val="18"/>
          <w:szCs w:val="18"/>
        </w:rPr>
        <w:t xml:space="preserve">Directive 2009/119/EU </w:t>
      </w:r>
      <w:r>
        <w:rPr>
          <w:rFonts w:ascii="Times New Roman" w:hAnsi="Times New Roman"/>
          <w:i/>
          <w:iCs/>
          <w:sz w:val="18"/>
          <w:szCs w:val="18"/>
        </w:rPr>
        <w:t>from</w:t>
      </w:r>
      <w:r w:rsidRPr="00C33370">
        <w:rPr>
          <w:rFonts w:ascii="Times New Roman" w:hAnsi="Times New Roman"/>
          <w:i/>
          <w:iCs/>
          <w:sz w:val="18"/>
          <w:szCs w:val="18"/>
        </w:rPr>
        <w:t xml:space="preserve"> 14 </w:t>
      </w:r>
      <w:r>
        <w:rPr>
          <w:rFonts w:ascii="Times New Roman" w:hAnsi="Times New Roman"/>
          <w:i/>
          <w:iCs/>
          <w:sz w:val="18"/>
          <w:szCs w:val="18"/>
        </w:rPr>
        <w:t>september</w:t>
      </w:r>
      <w:r w:rsidRPr="00C33370">
        <w:rPr>
          <w:rFonts w:ascii="Times New Roman" w:hAnsi="Times New Roman"/>
          <w:i/>
          <w:iCs/>
          <w:sz w:val="18"/>
          <w:szCs w:val="18"/>
        </w:rPr>
        <w:t xml:space="preserve"> 2009 </w:t>
      </w:r>
    </w:p>
    <w:p w14:paraId="6F955844" w14:textId="77777777" w:rsidR="001454B0" w:rsidRDefault="001454B0" w:rsidP="001454B0">
      <w:pPr>
        <w:pStyle w:val="FootnoteText"/>
      </w:pPr>
    </w:p>
  </w:footnote>
  <w:footnote w:id="4">
    <w:p w14:paraId="4F682037" w14:textId="77777777" w:rsidR="001454B0" w:rsidRPr="002F4418" w:rsidRDefault="001454B0" w:rsidP="001454B0">
      <w:pPr>
        <w:pStyle w:val="FootnoteText"/>
        <w:ind w:left="284" w:right="351"/>
        <w:jc w:val="both"/>
        <w:rPr>
          <w:rFonts w:ascii="Times New Roman" w:hAnsi="Times New Roman"/>
          <w:i/>
          <w:iCs/>
          <w:sz w:val="18"/>
          <w:szCs w:val="18"/>
        </w:rPr>
      </w:pPr>
      <w:r w:rsidRPr="00390388">
        <w:rPr>
          <w:rFonts w:ascii="Times New Roman" w:hAnsi="Times New Roman"/>
          <w:i/>
          <w:iCs/>
          <w:sz w:val="18"/>
          <w:szCs w:val="18"/>
          <w:vertAlign w:val="superscript"/>
        </w:rPr>
        <w:footnoteRef/>
      </w:r>
      <w:r w:rsidRPr="00390388">
        <w:rPr>
          <w:rFonts w:ascii="Times New Roman" w:hAnsi="Times New Roman"/>
          <w:i/>
          <w:iCs/>
          <w:sz w:val="18"/>
          <w:szCs w:val="18"/>
        </w:rPr>
        <w:t xml:space="preserve"> </w:t>
      </w:r>
      <w:r>
        <w:rPr>
          <w:rFonts w:ascii="Times New Roman" w:hAnsi="Times New Roman"/>
          <w:i/>
          <w:iCs/>
          <w:sz w:val="18"/>
          <w:szCs w:val="18"/>
        </w:rPr>
        <w:t>Low on compulsory oil reserves</w:t>
      </w:r>
      <w:r w:rsidRPr="00390388">
        <w:rPr>
          <w:rFonts w:ascii="Times New Roman" w:hAnsi="Times New Roman"/>
          <w:i/>
          <w:iCs/>
          <w:sz w:val="18"/>
          <w:szCs w:val="18"/>
        </w:rPr>
        <w:t xml:space="preserve"> </w:t>
      </w:r>
      <w:r w:rsidRPr="00073D8E">
        <w:rPr>
          <w:rFonts w:ascii="Times New Roman" w:hAnsi="Times New Roman"/>
          <w:i/>
          <w:iCs/>
          <w:sz w:val="18"/>
          <w:szCs w:val="18"/>
        </w:rPr>
        <w:t>(,,Official Gazette of the Republic of Macedonia” no. 144/14, 178/14, 199/15, 197/17, 07/19</w:t>
      </w:r>
      <w:r w:rsidRPr="002F4418">
        <w:rPr>
          <w:rFonts w:ascii="Times New Roman" w:hAnsi="Times New Roman"/>
          <w:i/>
          <w:iCs/>
          <w:sz w:val="18"/>
          <w:szCs w:val="18"/>
        </w:rPr>
        <w:t xml:space="preserve"> </w:t>
      </w:r>
      <w:r>
        <w:rPr>
          <w:rFonts w:ascii="Times New Roman" w:hAnsi="Times New Roman"/>
          <w:i/>
          <w:iCs/>
          <w:sz w:val="18"/>
          <w:szCs w:val="18"/>
        </w:rPr>
        <w:t>and</w:t>
      </w:r>
      <w:r w:rsidRPr="002F4418">
        <w:rPr>
          <w:rFonts w:ascii="Times New Roman" w:hAnsi="Times New Roman"/>
          <w:i/>
          <w:iCs/>
          <w:sz w:val="18"/>
          <w:szCs w:val="18"/>
        </w:rPr>
        <w:t xml:space="preserve"> ,,</w:t>
      </w:r>
      <w:r w:rsidRPr="00073D8E">
        <w:rPr>
          <w:rFonts w:ascii="Times New Roman" w:hAnsi="Times New Roman"/>
          <w:i/>
          <w:iCs/>
          <w:sz w:val="18"/>
          <w:szCs w:val="18"/>
        </w:rPr>
        <w:t xml:space="preserve">Official Gazette of the Republic of </w:t>
      </w:r>
      <w:r>
        <w:rPr>
          <w:rFonts w:ascii="Times New Roman" w:hAnsi="Times New Roman"/>
          <w:i/>
          <w:iCs/>
          <w:sz w:val="18"/>
          <w:szCs w:val="18"/>
        </w:rPr>
        <w:t xml:space="preserve">North </w:t>
      </w:r>
      <w:r w:rsidRPr="00073D8E">
        <w:rPr>
          <w:rFonts w:ascii="Times New Roman" w:hAnsi="Times New Roman"/>
          <w:i/>
          <w:iCs/>
          <w:sz w:val="18"/>
          <w:szCs w:val="18"/>
        </w:rPr>
        <w:t>Macedonia</w:t>
      </w:r>
      <w:r w:rsidRPr="002F4418">
        <w:rPr>
          <w:rFonts w:ascii="Times New Roman" w:hAnsi="Times New Roman"/>
          <w:i/>
          <w:iCs/>
          <w:sz w:val="18"/>
          <w:szCs w:val="18"/>
        </w:rPr>
        <w:t xml:space="preserve">’’ </w:t>
      </w:r>
      <w:r>
        <w:rPr>
          <w:rFonts w:ascii="Times New Roman" w:hAnsi="Times New Roman"/>
          <w:i/>
          <w:iCs/>
          <w:sz w:val="18"/>
          <w:szCs w:val="18"/>
        </w:rPr>
        <w:t>no</w:t>
      </w:r>
      <w:r w:rsidRPr="002F4418">
        <w:rPr>
          <w:rFonts w:ascii="Times New Roman" w:hAnsi="Times New Roman"/>
          <w:i/>
          <w:iCs/>
          <w:sz w:val="18"/>
          <w:szCs w:val="18"/>
        </w:rPr>
        <w:t>. 275/19, 150/21</w:t>
      </w:r>
      <w:r>
        <w:rPr>
          <w:rFonts w:ascii="Times New Roman" w:hAnsi="Times New Roman"/>
          <w:i/>
          <w:iCs/>
          <w:sz w:val="18"/>
          <w:szCs w:val="18"/>
        </w:rPr>
        <w:t xml:space="preserve">, </w:t>
      </w:r>
      <w:r w:rsidRPr="002F4418">
        <w:rPr>
          <w:rFonts w:ascii="Times New Roman" w:hAnsi="Times New Roman"/>
          <w:i/>
          <w:iCs/>
          <w:sz w:val="18"/>
          <w:szCs w:val="18"/>
        </w:rPr>
        <w:t xml:space="preserve"> </w:t>
      </w:r>
      <w:r w:rsidRPr="00891AD5">
        <w:rPr>
          <w:rFonts w:ascii="Times New Roman" w:hAnsi="Times New Roman"/>
          <w:i/>
          <w:iCs/>
          <w:sz w:val="18"/>
          <w:szCs w:val="18"/>
        </w:rPr>
        <w:t>236/22</w:t>
      </w:r>
      <w:r>
        <w:rPr>
          <w:rFonts w:ascii="Times New Roman" w:hAnsi="Times New Roman"/>
          <w:i/>
          <w:iCs/>
          <w:sz w:val="18"/>
          <w:szCs w:val="18"/>
        </w:rPr>
        <w:t xml:space="preserve">  and 147/24</w:t>
      </w:r>
      <w:r w:rsidRPr="002F4418">
        <w:rPr>
          <w:rFonts w:ascii="Times New Roman" w:hAnsi="Times New Roman"/>
          <w:i/>
          <w:iCs/>
          <w:sz w:val="18"/>
          <w:szCs w:val="18"/>
        </w:rPr>
        <w:t>”)</w:t>
      </w:r>
    </w:p>
    <w:p w14:paraId="68A8AD07" w14:textId="77777777" w:rsidR="001454B0" w:rsidRDefault="001454B0" w:rsidP="001454B0">
      <w:pPr>
        <w:pStyle w:val="FootnoteText"/>
      </w:pPr>
    </w:p>
  </w:footnote>
  <w:footnote w:id="5">
    <w:p w14:paraId="2A02D796" w14:textId="77777777" w:rsidR="001454B0" w:rsidRPr="00947580" w:rsidRDefault="001454B0" w:rsidP="001454B0">
      <w:pPr>
        <w:pStyle w:val="FootnoteText"/>
        <w:ind w:left="284"/>
        <w:rPr>
          <w:rFonts w:ascii="Times New Roman" w:hAnsi="Times New Roman"/>
          <w:i/>
          <w:iCs/>
          <w:sz w:val="18"/>
          <w:szCs w:val="18"/>
        </w:rPr>
      </w:pPr>
      <w:r>
        <w:rPr>
          <w:rStyle w:val="FootnoteReference"/>
        </w:rPr>
        <w:footnoteRef/>
      </w:r>
      <w:r>
        <w:t xml:space="preserve"> </w:t>
      </w:r>
      <w:r w:rsidRPr="002A1ED9">
        <w:rPr>
          <w:rFonts w:ascii="Times New Roman" w:hAnsi="Times New Roman"/>
          <w:i/>
          <w:iCs/>
          <w:sz w:val="18"/>
          <w:szCs w:val="18"/>
        </w:rPr>
        <w:t>Action plan for the establishment of compulsory reserves</w:t>
      </w:r>
      <w:r w:rsidRPr="002A1ED9">
        <w:rPr>
          <w:rFonts w:ascii="Times New Roman" w:hAnsi="Times New Roman"/>
          <w:sz w:val="22"/>
          <w:szCs w:val="22"/>
        </w:rPr>
        <w:t xml:space="preserve"> </w:t>
      </w:r>
      <w:r w:rsidRPr="00FC014E">
        <w:rPr>
          <w:rFonts w:ascii="Times New Roman" w:hAnsi="Times New Roman"/>
          <w:i/>
          <w:iCs/>
          <w:sz w:val="18"/>
          <w:szCs w:val="18"/>
        </w:rPr>
        <w:t xml:space="preserve">2023-2025, </w:t>
      </w:r>
      <w:r w:rsidRPr="00073D8E">
        <w:rPr>
          <w:rFonts w:ascii="Times New Roman" w:hAnsi="Times New Roman"/>
          <w:i/>
          <w:iCs/>
          <w:sz w:val="18"/>
          <w:szCs w:val="18"/>
        </w:rPr>
        <w:t>Official Gazette</w:t>
      </w:r>
      <w:r>
        <w:rPr>
          <w:rFonts w:ascii="Times New Roman" w:hAnsi="Times New Roman"/>
          <w:i/>
          <w:iCs/>
          <w:sz w:val="18"/>
          <w:szCs w:val="18"/>
        </w:rPr>
        <w:t xml:space="preserve"> </w:t>
      </w:r>
      <w:r w:rsidRPr="007F2FC4">
        <w:rPr>
          <w:rFonts w:ascii="Times New Roman" w:hAnsi="Times New Roman"/>
          <w:i/>
          <w:iCs/>
          <w:sz w:val="18"/>
          <w:szCs w:val="18"/>
        </w:rPr>
        <w:t xml:space="preserve"> </w:t>
      </w:r>
      <w:r w:rsidRPr="00073D8E">
        <w:rPr>
          <w:rFonts w:ascii="Times New Roman" w:hAnsi="Times New Roman"/>
          <w:i/>
          <w:iCs/>
          <w:sz w:val="18"/>
          <w:szCs w:val="18"/>
        </w:rPr>
        <w:t xml:space="preserve">of the Republic of </w:t>
      </w:r>
      <w:r>
        <w:rPr>
          <w:rFonts w:ascii="Times New Roman" w:hAnsi="Times New Roman"/>
          <w:i/>
          <w:iCs/>
          <w:sz w:val="18"/>
          <w:szCs w:val="18"/>
        </w:rPr>
        <w:t xml:space="preserve">North </w:t>
      </w:r>
      <w:r w:rsidRPr="00073D8E">
        <w:rPr>
          <w:rFonts w:ascii="Times New Roman" w:hAnsi="Times New Roman"/>
          <w:i/>
          <w:iCs/>
          <w:sz w:val="18"/>
          <w:szCs w:val="18"/>
        </w:rPr>
        <w:t>Macedonia</w:t>
      </w:r>
      <w:r>
        <w:rPr>
          <w:rFonts w:ascii="Times New Roman" w:hAnsi="Times New Roman"/>
          <w:i/>
          <w:iCs/>
          <w:sz w:val="18"/>
          <w:szCs w:val="18"/>
        </w:rPr>
        <w:t xml:space="preserve"> no</w:t>
      </w:r>
      <w:r w:rsidRPr="007F2FC4">
        <w:rPr>
          <w:rFonts w:ascii="Times New Roman" w:hAnsi="Times New Roman"/>
          <w:i/>
          <w:iCs/>
          <w:sz w:val="18"/>
          <w:szCs w:val="18"/>
        </w:rPr>
        <w:t>. 33/23</w:t>
      </w:r>
    </w:p>
  </w:footnote>
  <w:footnote w:id="6">
    <w:p w14:paraId="4A155A80" w14:textId="77777777" w:rsidR="001454B0" w:rsidRPr="007F2FC4" w:rsidRDefault="001454B0" w:rsidP="001454B0">
      <w:pPr>
        <w:pStyle w:val="FootnoteText"/>
        <w:ind w:left="284"/>
        <w:rPr>
          <w:rFonts w:ascii="Times New Roman" w:hAnsi="Times New Roman"/>
          <w:i/>
          <w:iCs/>
          <w:sz w:val="18"/>
          <w:szCs w:val="18"/>
        </w:rPr>
      </w:pPr>
      <w:r w:rsidRPr="00FC014E">
        <w:rPr>
          <w:vertAlign w:val="superscript"/>
        </w:rPr>
        <w:footnoteRef/>
      </w:r>
      <w:r w:rsidRPr="007F2FC4">
        <w:rPr>
          <w:rFonts w:ascii="Times New Roman" w:hAnsi="Times New Roman"/>
          <w:i/>
          <w:iCs/>
          <w:sz w:val="18"/>
          <w:szCs w:val="18"/>
        </w:rPr>
        <w:t xml:space="preserve"> </w:t>
      </w:r>
      <w:r w:rsidRPr="002A1ED9">
        <w:rPr>
          <w:rFonts w:ascii="Times New Roman" w:hAnsi="Times New Roman"/>
          <w:i/>
          <w:iCs/>
          <w:sz w:val="18"/>
          <w:szCs w:val="18"/>
        </w:rPr>
        <w:t>Action plan for the establishment of compulsory reserves</w:t>
      </w:r>
      <w:r w:rsidRPr="002A1ED9">
        <w:rPr>
          <w:rFonts w:ascii="Times New Roman" w:hAnsi="Times New Roman"/>
          <w:sz w:val="22"/>
          <w:szCs w:val="22"/>
        </w:rPr>
        <w:t xml:space="preserve"> </w:t>
      </w:r>
      <w:r w:rsidRPr="00FC014E">
        <w:rPr>
          <w:rFonts w:ascii="Times New Roman" w:hAnsi="Times New Roman"/>
          <w:i/>
          <w:iCs/>
          <w:sz w:val="18"/>
          <w:szCs w:val="18"/>
        </w:rPr>
        <w:t xml:space="preserve">2023-2025, </w:t>
      </w:r>
      <w:r w:rsidRPr="00073D8E">
        <w:rPr>
          <w:rFonts w:ascii="Times New Roman" w:hAnsi="Times New Roman"/>
          <w:i/>
          <w:iCs/>
          <w:sz w:val="18"/>
          <w:szCs w:val="18"/>
        </w:rPr>
        <w:t xml:space="preserve">Official Gazette of the Republic of </w:t>
      </w:r>
      <w:r>
        <w:rPr>
          <w:rFonts w:ascii="Times New Roman" w:hAnsi="Times New Roman"/>
          <w:i/>
          <w:iCs/>
          <w:sz w:val="18"/>
          <w:szCs w:val="18"/>
        </w:rPr>
        <w:t xml:space="preserve">North </w:t>
      </w:r>
      <w:r w:rsidRPr="00073D8E">
        <w:rPr>
          <w:rFonts w:ascii="Times New Roman" w:hAnsi="Times New Roman"/>
          <w:i/>
          <w:iCs/>
          <w:sz w:val="18"/>
          <w:szCs w:val="18"/>
        </w:rPr>
        <w:t>Macedonia</w:t>
      </w:r>
      <w:r>
        <w:rPr>
          <w:rFonts w:ascii="Times New Roman" w:hAnsi="Times New Roman"/>
          <w:i/>
          <w:iCs/>
          <w:sz w:val="18"/>
          <w:szCs w:val="18"/>
        </w:rPr>
        <w:t xml:space="preserve"> no</w:t>
      </w:r>
      <w:r w:rsidRPr="007F2FC4">
        <w:rPr>
          <w:rFonts w:ascii="Times New Roman" w:hAnsi="Times New Roman"/>
          <w:i/>
          <w:iCs/>
          <w:sz w:val="18"/>
          <w:szCs w:val="18"/>
        </w:rPr>
        <w:t>. 33/23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F8164" w14:textId="23AE4BE1" w:rsidR="009207AC" w:rsidRPr="00E03899" w:rsidRDefault="009207AC" w:rsidP="00E03899">
    <w:pPr>
      <w:rPr>
        <w:rFonts w:ascii="Arial" w:eastAsia="Times New Roman" w:hAnsi="Arial" w:cs="Arial"/>
        <w:sz w:val="18"/>
        <w:szCs w:val="18"/>
      </w:rPr>
    </w:pPr>
    <w:bookmarkStart w:id="1" w:name="_Hlk95396075"/>
    <w:r w:rsidRPr="00E03899">
      <w:rPr>
        <w:rFonts w:ascii="Arial" w:eastAsia="Times New Roman" w:hAnsi="Arial" w:cs="Arial"/>
        <w:sz w:val="18"/>
        <w:szCs w:val="18"/>
      </w:rPr>
      <w:t>Manuscript received:</w:t>
    </w:r>
    <w:r w:rsidR="008F68FE">
      <w:rPr>
        <w:rFonts w:ascii="Arial" w:eastAsia="Times New Roman" w:hAnsi="Arial" w:cs="Arial"/>
        <w:sz w:val="18"/>
        <w:szCs w:val="18"/>
      </w:rPr>
      <w:t xml:space="preserve"> </w:t>
    </w:r>
    <w:r w:rsidR="0000273E">
      <w:rPr>
        <w:rFonts w:ascii="Arial" w:eastAsia="Times New Roman" w:hAnsi="Arial" w:cs="Arial"/>
        <w:sz w:val="18"/>
        <w:szCs w:val="18"/>
      </w:rPr>
      <w:t>01</w:t>
    </w:r>
    <w:r w:rsidR="008F68FE">
      <w:rPr>
        <w:rFonts w:ascii="Arial" w:eastAsia="Times New Roman" w:hAnsi="Arial" w:cs="Arial"/>
        <w:sz w:val="18"/>
        <w:szCs w:val="18"/>
      </w:rPr>
      <w:t>.</w:t>
    </w:r>
    <w:r w:rsidR="0000273E">
      <w:rPr>
        <w:rFonts w:ascii="Arial" w:eastAsia="Times New Roman" w:hAnsi="Arial" w:cs="Arial"/>
        <w:sz w:val="18"/>
        <w:szCs w:val="18"/>
      </w:rPr>
      <w:t>11</w:t>
    </w:r>
    <w:r w:rsidR="008F68FE">
      <w:rPr>
        <w:rFonts w:ascii="Arial" w:eastAsia="Times New Roman" w:hAnsi="Arial" w:cs="Arial"/>
        <w:sz w:val="18"/>
        <w:szCs w:val="18"/>
      </w:rPr>
      <w:t xml:space="preserve">.2024 </w:t>
    </w:r>
    <w:r>
      <w:rPr>
        <w:rFonts w:ascii="Arial" w:eastAsia="Times New Roman" w:hAnsi="Arial" w:cs="Arial"/>
        <w:sz w:val="18"/>
        <w:szCs w:val="18"/>
      </w:rPr>
      <w:t xml:space="preserve">                            </w:t>
    </w:r>
    <w:r>
      <w:rPr>
        <w:rFonts w:ascii="Arial" w:hAnsi="Arial" w:cs="Arial"/>
        <w:bCs/>
        <w:sz w:val="18"/>
        <w:szCs w:val="18"/>
      </w:rPr>
      <w:t>International Journal of Economics, Management and Tourism</w:t>
    </w:r>
    <w:r w:rsidR="008F68FE">
      <w:rPr>
        <w:rFonts w:ascii="Arial" w:hAnsi="Arial" w:cs="Arial"/>
        <w:bCs/>
        <w:sz w:val="18"/>
        <w:szCs w:val="18"/>
      </w:rPr>
      <w:t xml:space="preserve"> </w:t>
    </w:r>
    <w:r w:rsidRPr="00E03899">
      <w:rPr>
        <w:rFonts w:ascii="Arial" w:eastAsia="Times New Roman" w:hAnsi="Arial" w:cs="Arial"/>
        <w:sz w:val="18"/>
        <w:szCs w:val="18"/>
      </w:rPr>
      <w:t>Accepted:</w:t>
    </w:r>
    <w:r w:rsidR="00894F36">
      <w:rPr>
        <w:rFonts w:ascii="Arial" w:eastAsia="Times New Roman" w:hAnsi="Arial" w:cs="Arial"/>
        <w:sz w:val="18"/>
        <w:szCs w:val="18"/>
      </w:rPr>
      <w:t xml:space="preserve"> 17.12.2024</w:t>
    </w:r>
    <w:r w:rsidRPr="00E03899">
      <w:rPr>
        <w:rFonts w:ascii="Arial" w:eastAsia="Times New Roman" w:hAnsi="Arial" w:cs="Arial"/>
        <w:sz w:val="18"/>
        <w:szCs w:val="18"/>
      </w:rPr>
      <w:tab/>
    </w:r>
    <w:r w:rsidRPr="00E03899">
      <w:rPr>
        <w:rFonts w:ascii="Arial" w:eastAsia="Times New Roman" w:hAnsi="Arial" w:cs="Arial"/>
        <w:sz w:val="18"/>
        <w:szCs w:val="18"/>
      </w:rPr>
      <w:tab/>
    </w:r>
    <w:r w:rsidRPr="00E03899">
      <w:rPr>
        <w:rFonts w:ascii="Arial" w:eastAsia="Times New Roman" w:hAnsi="Arial" w:cs="Arial"/>
        <w:sz w:val="18"/>
        <w:szCs w:val="18"/>
      </w:rPr>
      <w:tab/>
    </w:r>
    <w:r w:rsidRPr="00E03899">
      <w:rPr>
        <w:rFonts w:ascii="Arial" w:eastAsia="Times New Roman" w:hAnsi="Arial" w:cs="Arial"/>
        <w:sz w:val="18"/>
        <w:szCs w:val="18"/>
      </w:rPr>
      <w:tab/>
      <w:t xml:space="preserve">     </w:t>
    </w:r>
    <w:r>
      <w:rPr>
        <w:rFonts w:ascii="Arial" w:eastAsia="Times New Roman" w:hAnsi="Arial" w:cs="Arial"/>
        <w:sz w:val="18"/>
        <w:szCs w:val="18"/>
      </w:rPr>
      <w:t xml:space="preserve">                                  </w:t>
    </w:r>
    <w:r w:rsidR="001B72B5">
      <w:rPr>
        <w:rFonts w:ascii="Arial" w:eastAsia="Times New Roman" w:hAnsi="Arial" w:cs="Arial"/>
        <w:sz w:val="18"/>
        <w:szCs w:val="18"/>
      </w:rPr>
      <w:t xml:space="preserve">               </w:t>
    </w:r>
    <w:r>
      <w:rPr>
        <w:rFonts w:ascii="Arial" w:eastAsia="Times New Roman" w:hAnsi="Arial" w:cs="Arial"/>
        <w:sz w:val="18"/>
        <w:szCs w:val="18"/>
      </w:rPr>
      <w:t xml:space="preserve"> </w:t>
    </w:r>
    <w:r w:rsidRPr="00E03899">
      <w:rPr>
        <w:rFonts w:ascii="Arial" w:eastAsia="Times New Roman" w:hAnsi="Arial" w:cs="Arial"/>
        <w:sz w:val="18"/>
        <w:szCs w:val="18"/>
      </w:rPr>
      <w:t xml:space="preserve">Vol </w:t>
    </w:r>
    <w:r w:rsidR="00C248A2">
      <w:rPr>
        <w:rFonts w:ascii="Arial" w:eastAsia="Times New Roman" w:hAnsi="Arial" w:cs="Arial"/>
        <w:sz w:val="18"/>
        <w:szCs w:val="18"/>
      </w:rPr>
      <w:t>4</w:t>
    </w:r>
    <w:r w:rsidRPr="00E03899">
      <w:rPr>
        <w:rFonts w:ascii="Arial" w:eastAsia="Times New Roman" w:hAnsi="Arial" w:cs="Arial"/>
        <w:sz w:val="18"/>
        <w:szCs w:val="18"/>
      </w:rPr>
      <w:t xml:space="preserve">, No. </w:t>
    </w:r>
    <w:r w:rsidR="00C248A2">
      <w:rPr>
        <w:rFonts w:ascii="Arial" w:eastAsia="Times New Roman" w:hAnsi="Arial" w:cs="Arial"/>
        <w:sz w:val="18"/>
        <w:szCs w:val="18"/>
      </w:rPr>
      <w:t>2</w:t>
    </w:r>
    <w:r w:rsidRPr="00E03899">
      <w:rPr>
        <w:rFonts w:ascii="Arial" w:eastAsia="Times New Roman" w:hAnsi="Arial" w:cs="Arial"/>
        <w:sz w:val="18"/>
        <w:szCs w:val="18"/>
      </w:rPr>
      <w:t xml:space="preserve">, pp. </w:t>
    </w:r>
    <w:r w:rsidR="002760D4">
      <w:rPr>
        <w:rFonts w:ascii="Arial" w:eastAsia="Times New Roman" w:hAnsi="Arial" w:cs="Arial"/>
        <w:sz w:val="18"/>
        <w:szCs w:val="18"/>
      </w:rPr>
      <w:t>93-104</w:t>
    </w:r>
  </w:p>
  <w:p w14:paraId="39A3B770" w14:textId="77777777" w:rsidR="009207AC" w:rsidRPr="00E03899" w:rsidRDefault="009207AC" w:rsidP="00E03899">
    <w:pPr>
      <w:jc w:val="right"/>
      <w:rPr>
        <w:rFonts w:ascii="Arial" w:hAnsi="Arial" w:cs="Arial"/>
        <w:sz w:val="18"/>
        <w:szCs w:val="18"/>
        <w:lang w:val="mk-MK"/>
      </w:rPr>
    </w:pPr>
    <w:r w:rsidRPr="00E03899">
      <w:rPr>
        <w:rFonts w:ascii="Arial" w:eastAsia="Times New Roman" w:hAnsi="Arial" w:cs="Arial"/>
        <w:sz w:val="18"/>
        <w:szCs w:val="18"/>
      </w:rPr>
      <w:t xml:space="preserve">Online: ISSN </w:t>
    </w:r>
    <w:r w:rsidRPr="00E03899">
      <w:rPr>
        <w:rFonts w:ascii="Arial" w:hAnsi="Arial" w:cs="Arial"/>
        <w:b/>
        <w:sz w:val="18"/>
        <w:szCs w:val="18"/>
      </w:rPr>
      <w:t>2</w:t>
    </w:r>
    <w:r w:rsidRPr="00E03899">
      <w:rPr>
        <w:rFonts w:ascii="Arial" w:hAnsi="Arial" w:cs="Arial"/>
        <w:b/>
        <w:sz w:val="18"/>
        <w:szCs w:val="18"/>
        <w:lang w:val="mk-MK"/>
      </w:rPr>
      <w:t>671-3810</w:t>
    </w:r>
  </w:p>
  <w:p w14:paraId="58C122EC" w14:textId="4574D290" w:rsidR="009207AC" w:rsidRPr="00E03899" w:rsidRDefault="009207AC" w:rsidP="00F47E48">
    <w:pPr>
      <w:jc w:val="center"/>
      <w:rPr>
        <w:rFonts w:ascii="Arial" w:eastAsia="Times New Roman" w:hAnsi="Arial" w:cs="Arial"/>
        <w:sz w:val="18"/>
        <w:szCs w:val="18"/>
      </w:rPr>
    </w:pPr>
    <w:r>
      <w:rPr>
        <w:rFonts w:ascii="Arial" w:eastAsia="Times New Roman" w:hAnsi="Arial" w:cs="Arial"/>
        <w:sz w:val="18"/>
        <w:szCs w:val="18"/>
      </w:rPr>
      <w:t xml:space="preserve">        </w:t>
    </w:r>
    <w:r w:rsidR="00F47E48">
      <w:rPr>
        <w:rFonts w:ascii="Arial" w:eastAsia="Times New Roman" w:hAnsi="Arial" w:cs="Arial"/>
        <w:sz w:val="18"/>
        <w:szCs w:val="18"/>
      </w:rPr>
      <w:t xml:space="preserve">                                    </w:t>
    </w:r>
    <w:r>
      <w:rPr>
        <w:rFonts w:ascii="Arial" w:eastAsia="Times New Roman" w:hAnsi="Arial" w:cs="Arial"/>
        <w:sz w:val="18"/>
        <w:szCs w:val="18"/>
      </w:rPr>
      <w:t xml:space="preserve">           </w:t>
    </w:r>
    <w:r w:rsidR="00F47E48">
      <w:rPr>
        <w:rFonts w:ascii="Arial" w:eastAsia="Times New Roman" w:hAnsi="Arial" w:cs="Arial"/>
        <w:sz w:val="18"/>
        <w:szCs w:val="18"/>
      </w:rPr>
      <w:t>U</w:t>
    </w:r>
    <w:r w:rsidRPr="00E03899">
      <w:rPr>
        <w:rFonts w:ascii="Arial" w:eastAsia="Times New Roman" w:hAnsi="Arial" w:cs="Arial"/>
        <w:sz w:val="18"/>
        <w:szCs w:val="18"/>
      </w:rPr>
      <w:t>DC:</w:t>
    </w:r>
    <w:r w:rsidR="00F47E48">
      <w:rPr>
        <w:rFonts w:ascii="Arial" w:eastAsia="Times New Roman" w:hAnsi="Arial" w:cs="Arial"/>
        <w:sz w:val="18"/>
        <w:szCs w:val="18"/>
      </w:rPr>
      <w:t xml:space="preserve"> </w:t>
    </w:r>
    <w:r w:rsidR="00F47E48" w:rsidRPr="00F47E48">
      <w:rPr>
        <w:rFonts w:ascii="Arial" w:eastAsia="Times New Roman" w:hAnsi="Arial" w:cs="Arial"/>
        <w:sz w:val="18"/>
        <w:szCs w:val="18"/>
      </w:rPr>
      <w:t>330.522.4:665.61]:339.132(497.7)</w:t>
    </w:r>
    <w:r w:rsidR="00F47E48">
      <w:rPr>
        <w:rFonts w:ascii="Arial" w:eastAsia="Times New Roman" w:hAnsi="Arial" w:cs="Arial"/>
        <w:sz w:val="18"/>
        <w:szCs w:val="18"/>
      </w:rPr>
      <w:t xml:space="preserve"> </w:t>
    </w:r>
    <w:r w:rsidR="00F47E48" w:rsidRPr="00F47E48">
      <w:rPr>
        <w:rFonts w:ascii="Arial" w:eastAsia="Times New Roman" w:hAnsi="Arial" w:cs="Arial"/>
        <w:sz w:val="18"/>
        <w:szCs w:val="18"/>
      </w:rPr>
      <w:t>330.522.4:665.61]:339.132(4-672EU)</w:t>
    </w:r>
  </w:p>
  <w:p w14:paraId="04658C68" w14:textId="1D0E8674" w:rsidR="009207AC" w:rsidRPr="00E03899" w:rsidRDefault="00F47E48" w:rsidP="00E03899">
    <w:pPr>
      <w:jc w:val="right"/>
      <w:rPr>
        <w:rFonts w:ascii="Arial" w:eastAsia="Times New Roman" w:hAnsi="Arial" w:cs="Arial"/>
        <w:sz w:val="18"/>
        <w:szCs w:val="18"/>
      </w:rPr>
    </w:pPr>
    <w:r>
      <w:rPr>
        <w:rFonts w:ascii="Arial" w:eastAsia="Times New Roman" w:hAnsi="Arial" w:cs="Arial"/>
        <w:sz w:val="18"/>
        <w:szCs w:val="18"/>
      </w:rPr>
      <w:t>Original Scientific</w:t>
    </w:r>
    <w:r w:rsidR="009207AC" w:rsidRPr="00E03899">
      <w:rPr>
        <w:rFonts w:ascii="Arial" w:eastAsia="Times New Roman" w:hAnsi="Arial" w:cs="Arial"/>
        <w:sz w:val="18"/>
        <w:szCs w:val="18"/>
      </w:rPr>
      <w:t xml:space="preserve"> </w:t>
    </w:r>
    <w:r>
      <w:rPr>
        <w:rFonts w:ascii="Arial" w:eastAsia="Times New Roman" w:hAnsi="Arial" w:cs="Arial"/>
        <w:sz w:val="18"/>
        <w:szCs w:val="18"/>
      </w:rPr>
      <w:t>P</w:t>
    </w:r>
    <w:r w:rsidR="009207AC" w:rsidRPr="00E03899">
      <w:rPr>
        <w:rFonts w:ascii="Arial" w:eastAsia="Times New Roman" w:hAnsi="Arial" w:cs="Arial"/>
        <w:sz w:val="18"/>
        <w:szCs w:val="18"/>
      </w:rPr>
      <w:t xml:space="preserve">aper </w:t>
    </w:r>
  </w:p>
  <w:bookmarkEnd w:id="1"/>
  <w:p w14:paraId="46C82EFF" w14:textId="77777777" w:rsidR="009207AC" w:rsidRPr="00E03899" w:rsidRDefault="009207AC" w:rsidP="00E03899">
    <w:pPr>
      <w:jc w:val="center"/>
      <w:rPr>
        <w:rFonts w:ascii="Arial" w:hAnsi="Arial" w:cs="Arial"/>
        <w:b/>
      </w:rPr>
    </w:pPr>
  </w:p>
  <w:p w14:paraId="08BFD5D7" w14:textId="77777777" w:rsidR="009207AC" w:rsidRPr="00DE0D8A" w:rsidRDefault="009207AC" w:rsidP="00DE0D8A">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31C46"/>
    <w:multiLevelType w:val="hybridMultilevel"/>
    <w:tmpl w:val="C7246C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453343"/>
    <w:multiLevelType w:val="hybridMultilevel"/>
    <w:tmpl w:val="8C400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826CE"/>
    <w:multiLevelType w:val="hybridMultilevel"/>
    <w:tmpl w:val="D0C0E4B8"/>
    <w:lvl w:ilvl="0" w:tplc="741A6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56926"/>
    <w:multiLevelType w:val="hybridMultilevel"/>
    <w:tmpl w:val="2368C9F4"/>
    <w:lvl w:ilvl="0" w:tplc="21146CAC">
      <w:start w:val="2"/>
      <w:numFmt w:val="bullet"/>
      <w:lvlText w:val="-"/>
      <w:lvlJc w:val="left"/>
      <w:pPr>
        <w:ind w:left="720" w:hanging="360"/>
      </w:pPr>
      <w:rPr>
        <w:rFonts w:ascii="Myriad Pro" w:eastAsia="Times New Roman"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3532B"/>
    <w:multiLevelType w:val="hybridMultilevel"/>
    <w:tmpl w:val="B6D241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712BA6"/>
    <w:multiLevelType w:val="hybridMultilevel"/>
    <w:tmpl w:val="D0C0E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7F46B0"/>
    <w:multiLevelType w:val="hybridMultilevel"/>
    <w:tmpl w:val="164EF13E"/>
    <w:lvl w:ilvl="0" w:tplc="AB30057E">
      <w:start w:val="11"/>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8FE7B18"/>
    <w:multiLevelType w:val="hybridMultilevel"/>
    <w:tmpl w:val="372E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636F6"/>
    <w:multiLevelType w:val="hybridMultilevel"/>
    <w:tmpl w:val="7A0E01B4"/>
    <w:lvl w:ilvl="0" w:tplc="0409000B">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15:restartNumberingAfterBreak="0">
    <w:nsid w:val="6397740D"/>
    <w:multiLevelType w:val="hybridMultilevel"/>
    <w:tmpl w:val="EC96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BA5935"/>
    <w:multiLevelType w:val="hybridMultilevel"/>
    <w:tmpl w:val="020E11B4"/>
    <w:lvl w:ilvl="0" w:tplc="042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8193326">
    <w:abstractNumId w:val="0"/>
  </w:num>
  <w:num w:numId="2" w16cid:durableId="1415977774">
    <w:abstractNumId w:val="4"/>
  </w:num>
  <w:num w:numId="3" w16cid:durableId="1606382959">
    <w:abstractNumId w:val="10"/>
  </w:num>
  <w:num w:numId="4" w16cid:durableId="1748456533">
    <w:abstractNumId w:val="1"/>
  </w:num>
  <w:num w:numId="5" w16cid:durableId="388385887">
    <w:abstractNumId w:val="9"/>
  </w:num>
  <w:num w:numId="6" w16cid:durableId="438719206">
    <w:abstractNumId w:val="7"/>
  </w:num>
  <w:num w:numId="7" w16cid:durableId="694228682">
    <w:abstractNumId w:val="6"/>
  </w:num>
  <w:num w:numId="8" w16cid:durableId="102652408">
    <w:abstractNumId w:val="2"/>
  </w:num>
  <w:num w:numId="9" w16cid:durableId="1680042025">
    <w:abstractNumId w:val="5"/>
  </w:num>
  <w:num w:numId="10" w16cid:durableId="2063560244">
    <w:abstractNumId w:val="8"/>
  </w:num>
  <w:num w:numId="11" w16cid:durableId="190409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74"/>
    <w:rsid w:val="0000273E"/>
    <w:rsid w:val="00025781"/>
    <w:rsid w:val="00066D36"/>
    <w:rsid w:val="000D3AEB"/>
    <w:rsid w:val="00140B30"/>
    <w:rsid w:val="00143530"/>
    <w:rsid w:val="001454B0"/>
    <w:rsid w:val="001B72B5"/>
    <w:rsid w:val="0023175A"/>
    <w:rsid w:val="00234702"/>
    <w:rsid w:val="0026383D"/>
    <w:rsid w:val="00275433"/>
    <w:rsid w:val="002760D4"/>
    <w:rsid w:val="002C7579"/>
    <w:rsid w:val="00364352"/>
    <w:rsid w:val="003E2916"/>
    <w:rsid w:val="003F09DA"/>
    <w:rsid w:val="00432E0D"/>
    <w:rsid w:val="00451102"/>
    <w:rsid w:val="00471483"/>
    <w:rsid w:val="00473F11"/>
    <w:rsid w:val="00534B3C"/>
    <w:rsid w:val="00546EA5"/>
    <w:rsid w:val="005555D3"/>
    <w:rsid w:val="005F0774"/>
    <w:rsid w:val="006352FA"/>
    <w:rsid w:val="00644A9D"/>
    <w:rsid w:val="0068640B"/>
    <w:rsid w:val="00723825"/>
    <w:rsid w:val="007906D0"/>
    <w:rsid w:val="007A4F78"/>
    <w:rsid w:val="007A5C06"/>
    <w:rsid w:val="00847AD7"/>
    <w:rsid w:val="00894F36"/>
    <w:rsid w:val="008E01C3"/>
    <w:rsid w:val="008F4DF0"/>
    <w:rsid w:val="008F68FE"/>
    <w:rsid w:val="00906E34"/>
    <w:rsid w:val="009207AC"/>
    <w:rsid w:val="00923371"/>
    <w:rsid w:val="00961E92"/>
    <w:rsid w:val="00977471"/>
    <w:rsid w:val="009D1496"/>
    <w:rsid w:val="009E2489"/>
    <w:rsid w:val="009F1F75"/>
    <w:rsid w:val="00A20000"/>
    <w:rsid w:val="00A42D8F"/>
    <w:rsid w:val="00AA4E3E"/>
    <w:rsid w:val="00AB525B"/>
    <w:rsid w:val="00AE6D42"/>
    <w:rsid w:val="00BA43CC"/>
    <w:rsid w:val="00C06537"/>
    <w:rsid w:val="00C248A2"/>
    <w:rsid w:val="00C43029"/>
    <w:rsid w:val="00CD06E1"/>
    <w:rsid w:val="00CD53F0"/>
    <w:rsid w:val="00D8451C"/>
    <w:rsid w:val="00DC609E"/>
    <w:rsid w:val="00DE0D8A"/>
    <w:rsid w:val="00E03899"/>
    <w:rsid w:val="00E27990"/>
    <w:rsid w:val="00E3759C"/>
    <w:rsid w:val="00E7044A"/>
    <w:rsid w:val="00E77A3E"/>
    <w:rsid w:val="00EF666A"/>
    <w:rsid w:val="00F43BFD"/>
    <w:rsid w:val="00F47E48"/>
    <w:rsid w:val="00F66F76"/>
    <w:rsid w:val="00FC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E4F2"/>
  <w15:chartTrackingRefBased/>
  <w15:docId w15:val="{60494592-9116-4CC4-857A-B5E09D25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06"/>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0774"/>
    <w:rPr>
      <w:color w:val="0000FF"/>
      <w:u w:val="single"/>
    </w:rPr>
  </w:style>
  <w:style w:type="paragraph" w:styleId="NormalWeb">
    <w:name w:val="Normal (Web)"/>
    <w:basedOn w:val="Normal"/>
    <w:uiPriority w:val="99"/>
    <w:unhideWhenUsed/>
    <w:rsid w:val="009D1496"/>
    <w:pPr>
      <w:spacing w:before="100" w:beforeAutospacing="1" w:after="100" w:afterAutospacing="1"/>
    </w:pPr>
    <w:rPr>
      <w:rFonts w:ascii="Times New Roman" w:eastAsia="Times New Roman" w:hAnsi="Times New Roman" w:cs="Times New Roman"/>
      <w:sz w:val="24"/>
      <w:szCs w:val="24"/>
      <w:lang w:val="mk-MK" w:eastAsia="mk-MK"/>
    </w:rPr>
  </w:style>
  <w:style w:type="paragraph" w:styleId="ListParagraph">
    <w:name w:val="List Paragraph"/>
    <w:basedOn w:val="Normal"/>
    <w:uiPriority w:val="34"/>
    <w:qFormat/>
    <w:rsid w:val="00432E0D"/>
    <w:pPr>
      <w:ind w:left="720"/>
      <w:contextualSpacing/>
    </w:pPr>
  </w:style>
  <w:style w:type="character" w:styleId="UnresolvedMention">
    <w:name w:val="Unresolved Mention"/>
    <w:uiPriority w:val="99"/>
    <w:semiHidden/>
    <w:unhideWhenUsed/>
    <w:rsid w:val="00432E0D"/>
    <w:rPr>
      <w:color w:val="605E5C"/>
      <w:shd w:val="clear" w:color="auto" w:fill="E1DFDD"/>
    </w:rPr>
  </w:style>
  <w:style w:type="character" w:styleId="Emphasis">
    <w:name w:val="Emphasis"/>
    <w:qFormat/>
    <w:rsid w:val="00AA4E3E"/>
    <w:rPr>
      <w:i/>
      <w:iCs/>
    </w:rPr>
  </w:style>
  <w:style w:type="paragraph" w:styleId="FootnoteText">
    <w:name w:val="footnote text"/>
    <w:basedOn w:val="Normal"/>
    <w:link w:val="FootnoteTextChar"/>
    <w:semiHidden/>
    <w:unhideWhenUsed/>
    <w:rsid w:val="0023175A"/>
    <w:rPr>
      <w:sz w:val="20"/>
      <w:szCs w:val="20"/>
    </w:rPr>
  </w:style>
  <w:style w:type="character" w:customStyle="1" w:styleId="FootnoteTextChar">
    <w:name w:val="Footnote Text Char"/>
    <w:link w:val="FootnoteText"/>
    <w:semiHidden/>
    <w:rsid w:val="0023175A"/>
    <w:rPr>
      <w:rFonts w:ascii="Calibri" w:hAnsi="Calibri" w:cs="Calibri"/>
      <w:sz w:val="20"/>
      <w:szCs w:val="20"/>
      <w:lang w:val="en-US"/>
    </w:rPr>
  </w:style>
  <w:style w:type="character" w:styleId="FootnoteReference">
    <w:name w:val="footnote reference"/>
    <w:semiHidden/>
    <w:unhideWhenUsed/>
    <w:rsid w:val="0023175A"/>
    <w:rPr>
      <w:vertAlign w:val="superscript"/>
    </w:rPr>
  </w:style>
  <w:style w:type="paragraph" w:styleId="Header">
    <w:name w:val="header"/>
    <w:basedOn w:val="Normal"/>
    <w:link w:val="HeaderChar"/>
    <w:uiPriority w:val="99"/>
    <w:unhideWhenUsed/>
    <w:rsid w:val="00DE0D8A"/>
    <w:pPr>
      <w:tabs>
        <w:tab w:val="center" w:pos="4680"/>
        <w:tab w:val="right" w:pos="9360"/>
      </w:tabs>
    </w:pPr>
  </w:style>
  <w:style w:type="character" w:customStyle="1" w:styleId="HeaderChar">
    <w:name w:val="Header Char"/>
    <w:link w:val="Header"/>
    <w:uiPriority w:val="99"/>
    <w:rsid w:val="00DE0D8A"/>
    <w:rPr>
      <w:rFonts w:ascii="Calibri" w:hAnsi="Calibri" w:cs="Calibri"/>
      <w:lang w:val="en-US"/>
    </w:rPr>
  </w:style>
  <w:style w:type="paragraph" w:styleId="Footer">
    <w:name w:val="footer"/>
    <w:basedOn w:val="Normal"/>
    <w:link w:val="FooterChar"/>
    <w:uiPriority w:val="99"/>
    <w:unhideWhenUsed/>
    <w:rsid w:val="00DE0D8A"/>
    <w:pPr>
      <w:tabs>
        <w:tab w:val="center" w:pos="4680"/>
        <w:tab w:val="right" w:pos="9360"/>
      </w:tabs>
    </w:pPr>
  </w:style>
  <w:style w:type="character" w:customStyle="1" w:styleId="FooterChar">
    <w:name w:val="Footer Char"/>
    <w:link w:val="Footer"/>
    <w:uiPriority w:val="99"/>
    <w:rsid w:val="00DE0D8A"/>
    <w:rPr>
      <w:rFonts w:ascii="Calibri" w:hAnsi="Calibri" w:cs="Calibri"/>
      <w:lang w:val="en-US"/>
    </w:rPr>
  </w:style>
  <w:style w:type="character" w:customStyle="1" w:styleId="shorttext">
    <w:name w:val="short_text"/>
    <w:basedOn w:val="DefaultParagraphFont"/>
    <w:rsid w:val="00D8451C"/>
  </w:style>
  <w:style w:type="character" w:customStyle="1" w:styleId="longtext">
    <w:name w:val="long_text"/>
    <w:basedOn w:val="DefaultParagraphFont"/>
    <w:rsid w:val="00D8451C"/>
  </w:style>
  <w:style w:type="character" w:customStyle="1" w:styleId="hps">
    <w:name w:val="hps"/>
    <w:basedOn w:val="DefaultParagraphFont"/>
    <w:rsid w:val="00D8451C"/>
  </w:style>
  <w:style w:type="table" w:styleId="TableGrid">
    <w:name w:val="Table Grid"/>
    <w:basedOn w:val="TableNormal"/>
    <w:uiPriority w:val="59"/>
    <w:rsid w:val="00D8451C"/>
    <w:pPr>
      <w:jc w:val="both"/>
    </w:pPr>
    <w:rPr>
      <w:rFonts w:ascii="Arial"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906D0"/>
    <w:pPr>
      <w:spacing w:before="100" w:beforeAutospacing="1" w:after="100" w:afterAutospacing="1"/>
    </w:pPr>
    <w:rPr>
      <w:rFonts w:ascii="Times New Roman" w:eastAsia="Times New Roman" w:hAnsi="Times New Roman" w:cs="Times New Roman"/>
      <w:sz w:val="24"/>
      <w:szCs w:val="24"/>
    </w:rPr>
  </w:style>
  <w:style w:type="table" w:customStyle="1" w:styleId="PlainTable21">
    <w:name w:val="Plain Table 21"/>
    <w:basedOn w:val="TableNormal"/>
    <w:next w:val="PlainTable2"/>
    <w:uiPriority w:val="42"/>
    <w:rsid w:val="007906D0"/>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7906D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rsid w:val="001454B0"/>
    <w:pPr>
      <w:jc w:val="center"/>
    </w:pPr>
    <w:rPr>
      <w:rFonts w:ascii="Times New Roman" w:eastAsia="Times New Roman" w:hAnsi="Times New Roman" w:cs="Times New Roman"/>
      <w:b/>
      <w:sz w:val="32"/>
      <w:szCs w:val="20"/>
      <w:lang w:eastAsia="tr-TR"/>
    </w:rPr>
  </w:style>
  <w:style w:type="character" w:customStyle="1" w:styleId="BodyTextChar">
    <w:name w:val="Body Text Char"/>
    <w:basedOn w:val="DefaultParagraphFont"/>
    <w:link w:val="BodyText"/>
    <w:rsid w:val="001454B0"/>
    <w:rPr>
      <w:rFonts w:ascii="Times New Roman" w:eastAsia="Times New Roman" w:hAnsi="Times New Roman"/>
      <w:b/>
      <w:sz w:val="32"/>
      <w:lang w:eastAsia="tr-TR"/>
    </w:rPr>
  </w:style>
  <w:style w:type="paragraph" w:styleId="NoSpacing">
    <w:name w:val="No Spacing"/>
    <w:uiPriority w:val="1"/>
    <w:qFormat/>
    <w:rsid w:val="001454B0"/>
    <w:rPr>
      <w:sz w:val="22"/>
      <w:szCs w:val="22"/>
      <w:lang w:val="mk-MK"/>
    </w:rPr>
  </w:style>
  <w:style w:type="paragraph" w:styleId="BalloonText">
    <w:name w:val="Balloon Text"/>
    <w:basedOn w:val="Normal"/>
    <w:link w:val="BalloonTextChar"/>
    <w:uiPriority w:val="99"/>
    <w:semiHidden/>
    <w:unhideWhenUsed/>
    <w:rsid w:val="001454B0"/>
    <w:rPr>
      <w:rFonts w:ascii="Tahoma" w:hAnsi="Tahoma" w:cs="Tahoma"/>
      <w:sz w:val="16"/>
      <w:szCs w:val="16"/>
      <w:lang w:val="mk-MK"/>
    </w:rPr>
  </w:style>
  <w:style w:type="character" w:customStyle="1" w:styleId="BalloonTextChar">
    <w:name w:val="Balloon Text Char"/>
    <w:basedOn w:val="DefaultParagraphFont"/>
    <w:link w:val="BalloonText"/>
    <w:uiPriority w:val="99"/>
    <w:semiHidden/>
    <w:rsid w:val="001454B0"/>
    <w:rPr>
      <w:rFonts w:ascii="Tahoma" w:hAnsi="Tahoma" w:cs="Tahoma"/>
      <w:sz w:val="16"/>
      <w:szCs w:val="16"/>
      <w:lang w:val="mk-MK"/>
    </w:rPr>
  </w:style>
  <w:style w:type="paragraph" w:customStyle="1" w:styleId="Default">
    <w:name w:val="Default"/>
    <w:rsid w:val="001454B0"/>
    <w:pPr>
      <w:autoSpaceDE w:val="0"/>
      <w:autoSpaceDN w:val="0"/>
      <w:adjustRightInd w:val="0"/>
    </w:pPr>
    <w:rPr>
      <w:rFonts w:eastAsiaTheme="minorHAnsi" w:cs="Calibri"/>
      <w:color w:val="000000"/>
      <w:sz w:val="24"/>
      <w:szCs w:val="24"/>
      <w:lang w:val="mk-MK"/>
    </w:rPr>
  </w:style>
  <w:style w:type="character" w:customStyle="1" w:styleId="apple-converted-space">
    <w:name w:val="apple-converted-space"/>
    <w:basedOn w:val="DefaultParagraphFont"/>
    <w:rsid w:val="001454B0"/>
  </w:style>
  <w:style w:type="character" w:customStyle="1" w:styleId="reference-text">
    <w:name w:val="reference-text"/>
    <w:basedOn w:val="DefaultParagraphFont"/>
    <w:rsid w:val="001454B0"/>
  </w:style>
  <w:style w:type="paragraph" w:styleId="HTMLPreformatted">
    <w:name w:val="HTML Preformatted"/>
    <w:basedOn w:val="Normal"/>
    <w:link w:val="HTMLPreformattedChar"/>
    <w:uiPriority w:val="99"/>
    <w:semiHidden/>
    <w:unhideWhenUsed/>
    <w:rsid w:val="0014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mk-MK" w:eastAsia="mk-MK"/>
    </w:rPr>
  </w:style>
  <w:style w:type="character" w:customStyle="1" w:styleId="HTMLPreformattedChar">
    <w:name w:val="HTML Preformatted Char"/>
    <w:basedOn w:val="DefaultParagraphFont"/>
    <w:link w:val="HTMLPreformatted"/>
    <w:uiPriority w:val="99"/>
    <w:semiHidden/>
    <w:rsid w:val="001454B0"/>
    <w:rPr>
      <w:rFonts w:ascii="Courier New" w:eastAsia="Times New Roman" w:hAnsi="Courier New" w:cs="Courier New"/>
      <w:lang w:val="mk-MK" w:eastAsia="mk-MK"/>
    </w:rPr>
  </w:style>
  <w:style w:type="character" w:customStyle="1" w:styleId="y2iqfc">
    <w:name w:val="y2iqfc"/>
    <w:basedOn w:val="DefaultParagraphFont"/>
    <w:rsid w:val="001454B0"/>
  </w:style>
  <w:style w:type="character" w:styleId="CommentReference">
    <w:name w:val="annotation reference"/>
    <w:basedOn w:val="DefaultParagraphFont"/>
    <w:uiPriority w:val="99"/>
    <w:semiHidden/>
    <w:unhideWhenUsed/>
    <w:rsid w:val="001454B0"/>
    <w:rPr>
      <w:sz w:val="16"/>
      <w:szCs w:val="16"/>
    </w:rPr>
  </w:style>
  <w:style w:type="paragraph" w:styleId="CommentText">
    <w:name w:val="annotation text"/>
    <w:basedOn w:val="Normal"/>
    <w:link w:val="CommentTextChar"/>
    <w:uiPriority w:val="99"/>
    <w:semiHidden/>
    <w:unhideWhenUsed/>
    <w:rsid w:val="001454B0"/>
    <w:pPr>
      <w:spacing w:after="160"/>
    </w:pPr>
    <w:rPr>
      <w:rFonts w:cs="Times New Roman"/>
      <w:sz w:val="20"/>
      <w:szCs w:val="20"/>
      <w:lang w:val="mk-MK"/>
    </w:rPr>
  </w:style>
  <w:style w:type="character" w:customStyle="1" w:styleId="CommentTextChar">
    <w:name w:val="Comment Text Char"/>
    <w:basedOn w:val="DefaultParagraphFont"/>
    <w:link w:val="CommentText"/>
    <w:uiPriority w:val="99"/>
    <w:semiHidden/>
    <w:rsid w:val="001454B0"/>
    <w:rPr>
      <w:lang w:val="mk-MK"/>
    </w:rPr>
  </w:style>
  <w:style w:type="paragraph" w:styleId="CommentSubject">
    <w:name w:val="annotation subject"/>
    <w:basedOn w:val="CommentText"/>
    <w:next w:val="CommentText"/>
    <w:link w:val="CommentSubjectChar"/>
    <w:uiPriority w:val="99"/>
    <w:semiHidden/>
    <w:unhideWhenUsed/>
    <w:rsid w:val="001454B0"/>
    <w:rPr>
      <w:b/>
      <w:bCs/>
    </w:rPr>
  </w:style>
  <w:style w:type="character" w:customStyle="1" w:styleId="CommentSubjectChar">
    <w:name w:val="Comment Subject Char"/>
    <w:basedOn w:val="CommentTextChar"/>
    <w:link w:val="CommentSubject"/>
    <w:uiPriority w:val="99"/>
    <w:semiHidden/>
    <w:rsid w:val="001454B0"/>
    <w:rPr>
      <w:b/>
      <w:bCs/>
      <w:lang w:val="mk-MK"/>
    </w:rPr>
  </w:style>
  <w:style w:type="paragraph" w:styleId="EndnoteText">
    <w:name w:val="endnote text"/>
    <w:basedOn w:val="Normal"/>
    <w:link w:val="EndnoteTextChar"/>
    <w:uiPriority w:val="99"/>
    <w:semiHidden/>
    <w:unhideWhenUsed/>
    <w:rsid w:val="001454B0"/>
    <w:rPr>
      <w:rFonts w:cs="Times New Roman"/>
      <w:sz w:val="20"/>
      <w:szCs w:val="20"/>
      <w:lang w:val="mk-MK"/>
    </w:rPr>
  </w:style>
  <w:style w:type="character" w:customStyle="1" w:styleId="EndnoteTextChar">
    <w:name w:val="Endnote Text Char"/>
    <w:basedOn w:val="DefaultParagraphFont"/>
    <w:link w:val="EndnoteText"/>
    <w:uiPriority w:val="99"/>
    <w:semiHidden/>
    <w:rsid w:val="001454B0"/>
    <w:rPr>
      <w:lang w:val="mk-MK"/>
    </w:rPr>
  </w:style>
  <w:style w:type="character" w:styleId="EndnoteReference">
    <w:name w:val="endnote reference"/>
    <w:basedOn w:val="DefaultParagraphFont"/>
    <w:uiPriority w:val="99"/>
    <w:semiHidden/>
    <w:unhideWhenUsed/>
    <w:rsid w:val="001454B0"/>
    <w:rPr>
      <w:vertAlign w:val="superscript"/>
    </w:rPr>
  </w:style>
  <w:style w:type="character" w:customStyle="1" w:styleId="UnresolvedMention1">
    <w:name w:val="Unresolved Mention1"/>
    <w:basedOn w:val="DefaultParagraphFont"/>
    <w:uiPriority w:val="99"/>
    <w:semiHidden/>
    <w:unhideWhenUsed/>
    <w:rsid w:val="001454B0"/>
    <w:rPr>
      <w:color w:val="605E5C"/>
      <w:shd w:val="clear" w:color="auto" w:fill="E1DFDD"/>
    </w:rPr>
  </w:style>
  <w:style w:type="character" w:customStyle="1" w:styleId="rynqvb">
    <w:name w:val="rynqvb"/>
    <w:basedOn w:val="DefaultParagraphFont"/>
    <w:rsid w:val="001454B0"/>
  </w:style>
  <w:style w:type="character" w:customStyle="1" w:styleId="A7">
    <w:name w:val="A7"/>
    <w:uiPriority w:val="99"/>
    <w:rsid w:val="001454B0"/>
    <w:rPr>
      <w:b/>
      <w:bCs/>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6010">
      <w:bodyDiv w:val="1"/>
      <w:marLeft w:val="0"/>
      <w:marRight w:val="0"/>
      <w:marTop w:val="0"/>
      <w:marBottom w:val="0"/>
      <w:divBdr>
        <w:top w:val="none" w:sz="0" w:space="0" w:color="auto"/>
        <w:left w:val="none" w:sz="0" w:space="0" w:color="auto"/>
        <w:bottom w:val="none" w:sz="0" w:space="0" w:color="auto"/>
        <w:right w:val="none" w:sz="0" w:space="0" w:color="auto"/>
      </w:divBdr>
    </w:div>
    <w:div w:id="283390744">
      <w:bodyDiv w:val="1"/>
      <w:marLeft w:val="0"/>
      <w:marRight w:val="0"/>
      <w:marTop w:val="0"/>
      <w:marBottom w:val="0"/>
      <w:divBdr>
        <w:top w:val="none" w:sz="0" w:space="0" w:color="auto"/>
        <w:left w:val="none" w:sz="0" w:space="0" w:color="auto"/>
        <w:bottom w:val="none" w:sz="0" w:space="0" w:color="auto"/>
        <w:right w:val="none" w:sz="0" w:space="0" w:color="auto"/>
      </w:divBdr>
    </w:div>
    <w:div w:id="502818322">
      <w:bodyDiv w:val="1"/>
      <w:marLeft w:val="0"/>
      <w:marRight w:val="0"/>
      <w:marTop w:val="0"/>
      <w:marBottom w:val="0"/>
      <w:divBdr>
        <w:top w:val="none" w:sz="0" w:space="0" w:color="auto"/>
        <w:left w:val="none" w:sz="0" w:space="0" w:color="auto"/>
        <w:bottom w:val="none" w:sz="0" w:space="0" w:color="auto"/>
        <w:right w:val="none" w:sz="0" w:space="0" w:color="auto"/>
      </w:divBdr>
    </w:div>
    <w:div w:id="853298284">
      <w:bodyDiv w:val="1"/>
      <w:marLeft w:val="0"/>
      <w:marRight w:val="0"/>
      <w:marTop w:val="0"/>
      <w:marBottom w:val="0"/>
      <w:divBdr>
        <w:top w:val="none" w:sz="0" w:space="0" w:color="auto"/>
        <w:left w:val="none" w:sz="0" w:space="0" w:color="auto"/>
        <w:bottom w:val="none" w:sz="0" w:space="0" w:color="auto"/>
        <w:right w:val="none" w:sz="0" w:space="0" w:color="auto"/>
      </w:divBdr>
    </w:div>
    <w:div w:id="931468927">
      <w:bodyDiv w:val="1"/>
      <w:marLeft w:val="0"/>
      <w:marRight w:val="0"/>
      <w:marTop w:val="0"/>
      <w:marBottom w:val="0"/>
      <w:divBdr>
        <w:top w:val="none" w:sz="0" w:space="0" w:color="auto"/>
        <w:left w:val="none" w:sz="0" w:space="0" w:color="auto"/>
        <w:bottom w:val="none" w:sz="0" w:space="0" w:color="auto"/>
        <w:right w:val="none" w:sz="0" w:space="0" w:color="auto"/>
      </w:divBdr>
    </w:div>
    <w:div w:id="1012730285">
      <w:bodyDiv w:val="1"/>
      <w:marLeft w:val="0"/>
      <w:marRight w:val="0"/>
      <w:marTop w:val="0"/>
      <w:marBottom w:val="0"/>
      <w:divBdr>
        <w:top w:val="none" w:sz="0" w:space="0" w:color="auto"/>
        <w:left w:val="none" w:sz="0" w:space="0" w:color="auto"/>
        <w:bottom w:val="none" w:sz="0" w:space="0" w:color="auto"/>
        <w:right w:val="none" w:sz="0" w:space="0" w:color="auto"/>
      </w:divBdr>
    </w:div>
    <w:div w:id="1134836238">
      <w:bodyDiv w:val="1"/>
      <w:marLeft w:val="0"/>
      <w:marRight w:val="0"/>
      <w:marTop w:val="0"/>
      <w:marBottom w:val="0"/>
      <w:divBdr>
        <w:top w:val="none" w:sz="0" w:space="0" w:color="auto"/>
        <w:left w:val="none" w:sz="0" w:space="0" w:color="auto"/>
        <w:bottom w:val="none" w:sz="0" w:space="0" w:color="auto"/>
        <w:right w:val="none" w:sz="0" w:space="0" w:color="auto"/>
      </w:divBdr>
    </w:div>
    <w:div w:id="1192455136">
      <w:bodyDiv w:val="1"/>
      <w:marLeft w:val="0"/>
      <w:marRight w:val="0"/>
      <w:marTop w:val="0"/>
      <w:marBottom w:val="0"/>
      <w:divBdr>
        <w:top w:val="none" w:sz="0" w:space="0" w:color="auto"/>
        <w:left w:val="none" w:sz="0" w:space="0" w:color="auto"/>
        <w:bottom w:val="none" w:sz="0" w:space="0" w:color="auto"/>
        <w:right w:val="none" w:sz="0" w:space="0" w:color="auto"/>
      </w:divBdr>
    </w:div>
    <w:div w:id="1662389468">
      <w:bodyDiv w:val="1"/>
      <w:marLeft w:val="0"/>
      <w:marRight w:val="0"/>
      <w:marTop w:val="0"/>
      <w:marBottom w:val="0"/>
      <w:divBdr>
        <w:top w:val="none" w:sz="0" w:space="0" w:color="auto"/>
        <w:left w:val="none" w:sz="0" w:space="0" w:color="auto"/>
        <w:bottom w:val="none" w:sz="0" w:space="0" w:color="auto"/>
        <w:right w:val="none" w:sz="0" w:space="0" w:color="auto"/>
      </w:divBdr>
    </w:div>
    <w:div w:id="1962834102">
      <w:bodyDiv w:val="1"/>
      <w:marLeft w:val="0"/>
      <w:marRight w:val="0"/>
      <w:marTop w:val="0"/>
      <w:marBottom w:val="0"/>
      <w:divBdr>
        <w:top w:val="none" w:sz="0" w:space="0" w:color="auto"/>
        <w:left w:val="none" w:sz="0" w:space="0" w:color="auto"/>
        <w:bottom w:val="none" w:sz="0" w:space="0" w:color="auto"/>
        <w:right w:val="none" w:sz="0" w:space="0" w:color="auto"/>
      </w:divBdr>
    </w:div>
    <w:div w:id="1999457956">
      <w:bodyDiv w:val="1"/>
      <w:marLeft w:val="0"/>
      <w:marRight w:val="0"/>
      <w:marTop w:val="0"/>
      <w:marBottom w:val="0"/>
      <w:divBdr>
        <w:top w:val="none" w:sz="0" w:space="0" w:color="auto"/>
        <w:left w:val="none" w:sz="0" w:space="0" w:color="auto"/>
        <w:bottom w:val="none" w:sz="0" w:space="0" w:color="auto"/>
        <w:right w:val="none" w:sz="0" w:space="0" w:color="auto"/>
      </w:divBdr>
    </w:div>
    <w:div w:id="210903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Trud%20za%20zadolzitelni%20nafteni%20rezervi\pci%20za%20EU%20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E:\izrabotka%20na%20nov%20zakon%20za%20nafta\AP%20MK\vlasto%20ap\AP%20VLASTO\ap_01.1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 3 (ovoj sheet)'!$G$9:$G$10</c:f>
              <c:strCache>
                <c:ptCount val="2"/>
                <c:pt idx="0">
                  <c:v>Табела бр.1 Покриеност со задолжителни  нафтени резерви во ЕУ</c:v>
                </c:pt>
                <c:pt idx="1">
                  <c:v>покриеност во денови</c:v>
                </c:pt>
              </c:strCache>
            </c:strRef>
          </c:tx>
          <c:spPr>
            <a:solidFill>
              <a:schemeClr val="accent1"/>
            </a:solidFill>
            <a:ln>
              <a:noFill/>
            </a:ln>
            <a:effectLst/>
          </c:spPr>
          <c:invertIfNegative val="0"/>
          <c:cat>
            <c:strRef>
              <c:f>'Sheet 3 (ovoj sheet)'!$F$11:$F$41</c:f>
              <c:strCache>
                <c:ptCount val="31"/>
                <c:pt idx="0">
                  <c:v>Belgium</c:v>
                </c:pt>
                <c:pt idx="1">
                  <c:v>Bulgaria</c:v>
                </c:pt>
                <c:pt idx="2">
                  <c:v>Czechia</c:v>
                </c:pt>
                <c:pt idx="3">
                  <c:v>Denmark</c:v>
                </c:pt>
                <c:pt idx="4">
                  <c:v>Germany</c:v>
                </c:pt>
                <c:pt idx="5">
                  <c:v>Estonia</c:v>
                </c:pt>
                <c:pt idx="6">
                  <c:v>Ireland</c:v>
                </c:pt>
                <c:pt idx="7">
                  <c:v>Greece</c:v>
                </c:pt>
                <c:pt idx="8">
                  <c:v>Spain</c:v>
                </c:pt>
                <c:pt idx="9">
                  <c:v>France</c:v>
                </c:pt>
                <c:pt idx="10">
                  <c:v>Croatia</c:v>
                </c:pt>
                <c:pt idx="11">
                  <c:v>Italy</c:v>
                </c:pt>
                <c:pt idx="12">
                  <c:v>Cyprus</c:v>
                </c:pt>
                <c:pt idx="13">
                  <c:v>Latvia</c:v>
                </c:pt>
                <c:pt idx="14">
                  <c:v>Lithuania</c:v>
                </c:pt>
                <c:pt idx="15">
                  <c:v>Luxembourg</c:v>
                </c:pt>
                <c:pt idx="16">
                  <c:v>Hungary</c:v>
                </c:pt>
                <c:pt idx="17">
                  <c:v>Malta</c:v>
                </c:pt>
                <c:pt idx="18">
                  <c:v>Netherlands</c:v>
                </c:pt>
                <c:pt idx="19">
                  <c:v>Austria</c:v>
                </c:pt>
                <c:pt idx="20">
                  <c:v>Poland</c:v>
                </c:pt>
                <c:pt idx="21">
                  <c:v>Portugal</c:v>
                </c:pt>
                <c:pt idx="22">
                  <c:v>Romania</c:v>
                </c:pt>
                <c:pt idx="23">
                  <c:v>Slovenia</c:v>
                </c:pt>
                <c:pt idx="24">
                  <c:v>Slovakia</c:v>
                </c:pt>
                <c:pt idx="25">
                  <c:v>Finland</c:v>
                </c:pt>
                <c:pt idx="26">
                  <c:v>Sweden</c:v>
                </c:pt>
                <c:pt idx="27">
                  <c:v>North Macedonia</c:v>
                </c:pt>
                <c:pt idx="28">
                  <c:v>Albania</c:v>
                </c:pt>
                <c:pt idx="29">
                  <c:v>Serbia</c:v>
                </c:pt>
                <c:pt idx="30">
                  <c:v>Türkiye</c:v>
                </c:pt>
              </c:strCache>
            </c:strRef>
          </c:cat>
          <c:val>
            <c:numRef>
              <c:f>'Sheet 3 (ovoj sheet)'!$G$11:$G$41</c:f>
              <c:numCache>
                <c:formatCode>#,##0</c:formatCode>
                <c:ptCount val="31"/>
                <c:pt idx="0">
                  <c:v>106</c:v>
                </c:pt>
                <c:pt idx="1">
                  <c:v>82</c:v>
                </c:pt>
                <c:pt idx="2">
                  <c:v>92</c:v>
                </c:pt>
                <c:pt idx="3">
                  <c:v>72</c:v>
                </c:pt>
                <c:pt idx="4">
                  <c:v>94</c:v>
                </c:pt>
                <c:pt idx="5">
                  <c:v>81</c:v>
                </c:pt>
                <c:pt idx="6">
                  <c:v>86</c:v>
                </c:pt>
                <c:pt idx="7">
                  <c:v>97</c:v>
                </c:pt>
                <c:pt idx="8">
                  <c:v>91</c:v>
                </c:pt>
                <c:pt idx="9">
                  <c:v>92</c:v>
                </c:pt>
                <c:pt idx="10">
                  <c:v>92</c:v>
                </c:pt>
                <c:pt idx="11">
                  <c:v>90</c:v>
                </c:pt>
                <c:pt idx="12">
                  <c:v>91</c:v>
                </c:pt>
                <c:pt idx="13">
                  <c:v>80</c:v>
                </c:pt>
                <c:pt idx="14">
                  <c:v>93</c:v>
                </c:pt>
                <c:pt idx="15">
                  <c:v>93</c:v>
                </c:pt>
                <c:pt idx="16">
                  <c:v>90</c:v>
                </c:pt>
                <c:pt idx="17">
                  <c:v>87</c:v>
                </c:pt>
                <c:pt idx="18">
                  <c:v>113</c:v>
                </c:pt>
                <c:pt idx="19">
                  <c:v>91</c:v>
                </c:pt>
                <c:pt idx="20">
                  <c:v>100</c:v>
                </c:pt>
                <c:pt idx="21">
                  <c:v>90</c:v>
                </c:pt>
                <c:pt idx="22">
                  <c:v>95</c:v>
                </c:pt>
                <c:pt idx="23">
                  <c:v>95</c:v>
                </c:pt>
                <c:pt idx="24">
                  <c:v>97</c:v>
                </c:pt>
                <c:pt idx="25">
                  <c:v>184</c:v>
                </c:pt>
                <c:pt idx="26">
                  <c:v>112</c:v>
                </c:pt>
                <c:pt idx="27">
                  <c:v>51</c:v>
                </c:pt>
                <c:pt idx="28">
                  <c:v>0</c:v>
                </c:pt>
                <c:pt idx="29">
                  <c:v>42</c:v>
                </c:pt>
                <c:pt idx="30">
                  <c:v>0</c:v>
                </c:pt>
              </c:numCache>
            </c:numRef>
          </c:val>
          <c:extLst>
            <c:ext xmlns:c16="http://schemas.microsoft.com/office/drawing/2014/chart" uri="{C3380CC4-5D6E-409C-BE32-E72D297353CC}">
              <c16:uniqueId val="{00000000-97B0-483C-9763-83FB59B18883}"/>
            </c:ext>
          </c:extLst>
        </c:ser>
        <c:dLbls>
          <c:showLegendKey val="0"/>
          <c:showVal val="0"/>
          <c:showCatName val="0"/>
          <c:showSerName val="0"/>
          <c:showPercent val="0"/>
          <c:showBubbleSize val="0"/>
        </c:dLbls>
        <c:gapWidth val="219"/>
        <c:overlap val="-27"/>
        <c:axId val="-66399808"/>
        <c:axId val="-152862736"/>
      </c:barChart>
      <c:catAx>
        <c:axId val="-6639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62736"/>
        <c:crosses val="autoZero"/>
        <c:auto val="1"/>
        <c:lblAlgn val="ctr"/>
        <c:lblOffset val="100"/>
        <c:noMultiLvlLbl val="0"/>
      </c:catAx>
      <c:valAx>
        <c:axId val="-152862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99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11643587555159"/>
          <c:y val="0.13017023913677456"/>
          <c:w val="0.69167249535779463"/>
          <c:h val="0.86982976086322561"/>
        </c:manualLayout>
      </c:layout>
      <c:doughnutChart>
        <c:varyColors val="1"/>
        <c:ser>
          <c:idx val="0"/>
          <c:order val="0"/>
          <c:dLbls>
            <c:dLbl>
              <c:idx val="0"/>
              <c:tx>
                <c:rich>
                  <a:bodyPr/>
                  <a:lstStyle/>
                  <a:p>
                    <a:r>
                      <a:rPr lang="en-US"/>
                      <a:t>19%</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756E-4F0A-9D6E-7809D3268C25}"/>
                </c:ext>
              </c:extLst>
            </c:dLbl>
            <c:dLbl>
              <c:idx val="1"/>
              <c:tx>
                <c:rich>
                  <a:bodyPr/>
                  <a:lstStyle/>
                  <a:p>
                    <a:r>
                      <a:rPr lang="en-US"/>
                      <a:t>63%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56E-4F0A-9D6E-7809D3268C25}"/>
                </c:ext>
              </c:extLst>
            </c:dLbl>
            <c:dLbl>
              <c:idx val="3"/>
              <c:tx>
                <c:rich>
                  <a:bodyPr/>
                  <a:lstStyle/>
                  <a:p>
                    <a:r>
                      <a:rPr lang="en-US"/>
                      <a:t>12%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756E-4F0A-9D6E-7809D3268C25}"/>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состојба!$A$30:$A$33</c:f>
              <c:strCache>
                <c:ptCount val="4"/>
                <c:pt idx="0">
                  <c:v>Моторен бензин + ТНГ</c:v>
                </c:pt>
                <c:pt idx="1">
                  <c:v>Дизел </c:v>
                </c:pt>
                <c:pt idx="2">
                  <c:v>ЕЛ</c:v>
                </c:pt>
                <c:pt idx="3">
                  <c:v>Мазут + НАФТЕН КОКС</c:v>
                </c:pt>
              </c:strCache>
            </c:strRef>
          </c:cat>
          <c:val>
            <c:numRef>
              <c:f>состојба!$B$30:$B$33</c:f>
              <c:numCache>
                <c:formatCode>#,##0.000</c:formatCode>
                <c:ptCount val="4"/>
                <c:pt idx="0">
                  <c:v>180.73926499999931</c:v>
                </c:pt>
                <c:pt idx="1">
                  <c:v>549.68094000000053</c:v>
                </c:pt>
                <c:pt idx="2">
                  <c:v>53.254396</c:v>
                </c:pt>
                <c:pt idx="3">
                  <c:v>132.65782200000001</c:v>
                </c:pt>
              </c:numCache>
            </c:numRef>
          </c:val>
          <c:extLst>
            <c:ext xmlns:c16="http://schemas.microsoft.com/office/drawing/2014/chart" uri="{C3380CC4-5D6E-409C-BE32-E72D297353CC}">
              <c16:uniqueId val="{00000003-756E-4F0A-9D6E-7809D3268C25}"/>
            </c:ext>
          </c:extLst>
        </c:ser>
        <c:ser>
          <c:idx val="1"/>
          <c:order val="1"/>
          <c:dLbls>
            <c:dLbl>
              <c:idx val="0"/>
              <c:tx>
                <c:rich>
                  <a:bodyPr/>
                  <a:lstStyle/>
                  <a:p>
                    <a:r>
                      <a:rPr lang="en-US"/>
                      <a:t>18%</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756E-4F0A-9D6E-7809D3268C25}"/>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состојба!$A$30:$A$33</c:f>
              <c:strCache>
                <c:ptCount val="4"/>
                <c:pt idx="0">
                  <c:v>Моторен бензин + ТНГ</c:v>
                </c:pt>
                <c:pt idx="1">
                  <c:v>Дизел </c:v>
                </c:pt>
                <c:pt idx="2">
                  <c:v>ЕЛ</c:v>
                </c:pt>
                <c:pt idx="3">
                  <c:v>Мазут + НАФТЕН КОКС</c:v>
                </c:pt>
              </c:strCache>
            </c:strRef>
          </c:cat>
          <c:val>
            <c:numRef>
              <c:f>состојба!$C$30:$C$33</c:f>
              <c:numCache>
                <c:formatCode>#,##0.000</c:formatCode>
                <c:ptCount val="4"/>
                <c:pt idx="0">
                  <c:v>179.75221800000068</c:v>
                </c:pt>
                <c:pt idx="1">
                  <c:v>576.15447099999994</c:v>
                </c:pt>
                <c:pt idx="2">
                  <c:v>51.555674000000003</c:v>
                </c:pt>
                <c:pt idx="3">
                  <c:v>111.94159200000036</c:v>
                </c:pt>
              </c:numCache>
            </c:numRef>
          </c:val>
          <c:extLst>
            <c:ext xmlns:c16="http://schemas.microsoft.com/office/drawing/2014/chart" uri="{C3380CC4-5D6E-409C-BE32-E72D297353CC}">
              <c16:uniqueId val="{00000005-756E-4F0A-9D6E-7809D3268C25}"/>
            </c:ext>
          </c:extLst>
        </c:ser>
        <c:ser>
          <c:idx val="2"/>
          <c:order val="2"/>
          <c:dLbls>
            <c:dLbl>
              <c:idx val="0"/>
              <c:tx>
                <c:rich>
                  <a:bodyPr/>
                  <a:lstStyle/>
                  <a:p>
                    <a:r>
                      <a:rPr lang="en-US"/>
                      <a:t>20%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756E-4F0A-9D6E-7809D3268C25}"/>
                </c:ext>
              </c:extLst>
            </c:dLbl>
            <c:dLbl>
              <c:idx val="1"/>
              <c:tx>
                <c:rich>
                  <a:bodyPr/>
                  <a:lstStyle/>
                  <a:p>
                    <a:r>
                      <a:rPr lang="en-US"/>
                      <a:t>60%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756E-4F0A-9D6E-7809D3268C25}"/>
                </c:ext>
              </c:extLst>
            </c:dLbl>
            <c:dLbl>
              <c:idx val="2"/>
              <c:tx>
                <c:rich>
                  <a:bodyPr/>
                  <a:lstStyle/>
                  <a:p>
                    <a:r>
                      <a:rPr lang="en-US"/>
                      <a:t>6%</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756E-4F0A-9D6E-7809D3268C25}"/>
                </c:ext>
              </c:extLst>
            </c:dLbl>
            <c:dLbl>
              <c:idx val="3"/>
              <c:tx>
                <c:rich>
                  <a:bodyPr/>
                  <a:lstStyle/>
                  <a:p>
                    <a:r>
                      <a:rPr lang="en-US"/>
                      <a:t>14%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756E-4F0A-9D6E-7809D3268C25}"/>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состојба!$A$30:$A$33</c:f>
              <c:strCache>
                <c:ptCount val="4"/>
                <c:pt idx="0">
                  <c:v>Моторен бензин + ТНГ</c:v>
                </c:pt>
                <c:pt idx="1">
                  <c:v>Дизел </c:v>
                </c:pt>
                <c:pt idx="2">
                  <c:v>ЕЛ</c:v>
                </c:pt>
                <c:pt idx="3">
                  <c:v>Мазут + НАФТЕН КОКС</c:v>
                </c:pt>
              </c:strCache>
            </c:strRef>
          </c:cat>
          <c:val>
            <c:numRef>
              <c:f>состојба!$D$30:$D$33</c:f>
              <c:numCache>
                <c:formatCode>#,##0.000</c:formatCode>
                <c:ptCount val="4"/>
                <c:pt idx="0">
                  <c:v>176.79899999999998</c:v>
                </c:pt>
                <c:pt idx="1">
                  <c:v>573.96899999999948</c:v>
                </c:pt>
                <c:pt idx="2">
                  <c:v>44.657000000000004</c:v>
                </c:pt>
                <c:pt idx="3">
                  <c:v>107.748</c:v>
                </c:pt>
              </c:numCache>
            </c:numRef>
          </c:val>
          <c:extLst>
            <c:ext xmlns:c16="http://schemas.microsoft.com/office/drawing/2014/chart" uri="{C3380CC4-5D6E-409C-BE32-E72D297353CC}">
              <c16:uniqueId val="{0000000A-756E-4F0A-9D6E-7809D3268C25}"/>
            </c:ext>
          </c:extLst>
        </c:ser>
        <c:dLbls>
          <c:showLegendKey val="0"/>
          <c:showVal val="0"/>
          <c:showCatName val="0"/>
          <c:showSerName val="0"/>
          <c:showPercent val="1"/>
          <c:showBubbleSize val="0"/>
          <c:showLeaderLines val="1"/>
        </c:dLbls>
        <c:firstSliceAng val="0"/>
        <c:holeSize val="50"/>
      </c:doughnutChart>
    </c:plotArea>
    <c:legend>
      <c:legendPos val="t"/>
      <c:overlay val="0"/>
    </c:legend>
    <c:plotVisOnly val="1"/>
    <c:dispBlanksAs val="zero"/>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7D913-206E-4935-9BD9-D135D432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4829</Words>
  <Characters>27527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Miteva</dc:creator>
  <cp:keywords/>
  <dc:description/>
  <cp:lastModifiedBy>Cvetanka Ristova Maglovska</cp:lastModifiedBy>
  <cp:revision>9</cp:revision>
  <dcterms:created xsi:type="dcterms:W3CDTF">2024-11-19T10:07:00Z</dcterms:created>
  <dcterms:modified xsi:type="dcterms:W3CDTF">2024-12-16T07:23:00Z</dcterms:modified>
</cp:coreProperties>
</file>